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677B2CA5"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97bis</w:t>
      </w:r>
      <w:r w:rsidRPr="00CE0424">
        <w:tab/>
      </w:r>
      <w:r w:rsidRPr="00CE0424">
        <w:rPr>
          <w:sz w:val="32"/>
          <w:szCs w:val="32"/>
        </w:rPr>
        <w:t xml:space="preserve">Tdoc </w:t>
      </w:r>
      <w:r w:rsidR="00BB4427" w:rsidRPr="00BB4427">
        <w:rPr>
          <w:sz w:val="32"/>
          <w:szCs w:val="32"/>
        </w:rPr>
        <w:t>R2-1702710</w:t>
      </w:r>
    </w:p>
    <w:p w14:paraId="5D18802E" w14:textId="7607904D" w:rsidR="00E90E49" w:rsidRPr="00CE0424" w:rsidRDefault="00AE3743" w:rsidP="00311702">
      <w:pPr>
        <w:pStyle w:val="3GPPHeader"/>
      </w:pPr>
      <w:r>
        <w:t>Spokane, USA, 3</w:t>
      </w:r>
      <w:r w:rsidRPr="00AE3743">
        <w:rPr>
          <w:vertAlign w:val="superscript"/>
        </w:rPr>
        <w:t>rd</w:t>
      </w:r>
      <w:r>
        <w:t xml:space="preserve"> – 7</w:t>
      </w:r>
      <w:r w:rsidRPr="00AE3743">
        <w:rPr>
          <w:vertAlign w:val="superscript"/>
        </w:rPr>
        <w:t>th</w:t>
      </w:r>
      <w:r>
        <w:t xml:space="preserve"> April 2017</w:t>
      </w:r>
    </w:p>
    <w:p w14:paraId="0FFA3B1B" w14:textId="77777777" w:rsidR="00E90E49" w:rsidRPr="00CE0424" w:rsidRDefault="00E90E49" w:rsidP="00357380">
      <w:pPr>
        <w:pStyle w:val="3GPPHeader"/>
      </w:pPr>
    </w:p>
    <w:p w14:paraId="0DBA3ED9" w14:textId="4FB57FBB" w:rsidR="00E90E49" w:rsidRPr="00EE6FE6" w:rsidRDefault="00E90E49" w:rsidP="00311702">
      <w:pPr>
        <w:pStyle w:val="3GPPHeader"/>
        <w:rPr>
          <w:sz w:val="22"/>
          <w:szCs w:val="22"/>
          <w:lang w:val="en-US"/>
        </w:rPr>
      </w:pPr>
      <w:r w:rsidRPr="00EE6FE6">
        <w:rPr>
          <w:sz w:val="22"/>
          <w:szCs w:val="22"/>
          <w:lang w:val="en-US"/>
        </w:rPr>
        <w:t>Agenda Item:</w:t>
      </w:r>
      <w:r w:rsidRPr="00EE6FE6">
        <w:rPr>
          <w:sz w:val="22"/>
          <w:szCs w:val="22"/>
          <w:lang w:val="en-US"/>
        </w:rPr>
        <w:tab/>
      </w:r>
      <w:r w:rsidR="00BB4427" w:rsidRPr="00EE6FE6">
        <w:rPr>
          <w:sz w:val="22"/>
          <w:szCs w:val="22"/>
          <w:lang w:val="en-US"/>
        </w:rPr>
        <w:t>10.2.2.2</w:t>
      </w:r>
    </w:p>
    <w:p w14:paraId="3D09BB9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6F3307" w14:textId="515A000B" w:rsidR="00E90E49" w:rsidRPr="004E29CB" w:rsidRDefault="003D3C45" w:rsidP="00311702">
      <w:pPr>
        <w:pStyle w:val="3GPPHeader"/>
        <w:rPr>
          <w:sz w:val="22"/>
          <w:szCs w:val="22"/>
        </w:rPr>
      </w:pPr>
      <w:r>
        <w:rPr>
          <w:sz w:val="22"/>
          <w:szCs w:val="22"/>
        </w:rPr>
        <w:t>Title:</w:t>
      </w:r>
      <w:r w:rsidR="00E90E49" w:rsidRPr="00CE0424">
        <w:rPr>
          <w:sz w:val="22"/>
          <w:szCs w:val="22"/>
        </w:rPr>
        <w:tab/>
      </w:r>
      <w:r w:rsidR="00A64F72" w:rsidRPr="00A64F72">
        <w:rPr>
          <w:sz w:val="22"/>
          <w:szCs w:val="22"/>
        </w:rPr>
        <w:t xml:space="preserve">On the </w:t>
      </w:r>
      <w:r w:rsidR="00A64F72" w:rsidRPr="004E29CB">
        <w:rPr>
          <w:sz w:val="22"/>
          <w:szCs w:val="22"/>
        </w:rPr>
        <w:t>different bearer options</w:t>
      </w:r>
    </w:p>
    <w:p w14:paraId="7A0567D6" w14:textId="77777777" w:rsidR="00E90E49" w:rsidRPr="00CE0424" w:rsidRDefault="00E90E49" w:rsidP="00D546FF">
      <w:pPr>
        <w:pStyle w:val="3GPPHeader"/>
        <w:rPr>
          <w:sz w:val="22"/>
          <w:szCs w:val="22"/>
        </w:rPr>
      </w:pPr>
      <w:r w:rsidRPr="004E29CB">
        <w:rPr>
          <w:sz w:val="22"/>
          <w:szCs w:val="22"/>
        </w:rPr>
        <w:t>Document for:</w:t>
      </w:r>
      <w:r w:rsidRPr="004E29CB">
        <w:rPr>
          <w:sz w:val="22"/>
          <w:szCs w:val="22"/>
        </w:rPr>
        <w:tab/>
        <w:t>Discussion, Decision</w:t>
      </w:r>
    </w:p>
    <w:p w14:paraId="3C6D63D8" w14:textId="77777777" w:rsidR="00E90E49" w:rsidRPr="00CE0424" w:rsidRDefault="00E90E49" w:rsidP="00E90E49"/>
    <w:p w14:paraId="4B9C2CE9" w14:textId="77777777" w:rsidR="00E90E49" w:rsidRPr="00CE0424" w:rsidRDefault="00E90E49" w:rsidP="00CE0424">
      <w:pPr>
        <w:pStyle w:val="Heading1"/>
      </w:pPr>
      <w:r w:rsidRPr="00CE0424">
        <w:t>Introduction</w:t>
      </w:r>
    </w:p>
    <w:p w14:paraId="6F038AC5" w14:textId="2DCFE516" w:rsidR="00A33F23" w:rsidRDefault="007503D0" w:rsidP="00CE0424">
      <w:pPr>
        <w:pStyle w:val="BodyText"/>
      </w:pPr>
      <w:r>
        <w:t>It has been agreed in RAN2 to support both SCG bearer and SCG split bearer when operating in LTE/NR Dual Connectivity with LTE as the master</w:t>
      </w:r>
      <w:r w:rsidR="00715E1A">
        <w:t>. The motivation for supporting SCG split bearer option is among other the possibility</w:t>
      </w:r>
      <w:r w:rsidR="00F724AF">
        <w:t xml:space="preserve"> in some scenarios</w:t>
      </w:r>
      <w:r w:rsidR="00715E1A">
        <w:t xml:space="preserve"> to optimize user plane path going through the NR node</w:t>
      </w:r>
      <w:r>
        <w:t>. From a UE point of view SCG bearers are defined in that they use NR PDCP layer, and that they use the S-KeNB for encryption</w:t>
      </w:r>
      <w:r w:rsidR="00A33F23">
        <w:t>.</w:t>
      </w:r>
      <w:r w:rsidR="00404BED">
        <w:t xml:space="preserve"> Additionally, it is agreed to support MCG split bearer which for instance could be beneficial for quickly switching between LTE only to EN-DC LTE/NR without the need to re-establish / relocate the PDCP context.</w:t>
      </w:r>
    </w:p>
    <w:p w14:paraId="3E8D722B" w14:textId="08641BB8" w:rsidR="00BE045E" w:rsidRDefault="007503D0" w:rsidP="00DF2D58">
      <w:pPr>
        <w:pStyle w:val="BodyText"/>
      </w:pPr>
      <w:r>
        <w:t>With the support of SCG bearers, the number of bearer combinations for LTE/NR Dual Connectivity becomes quite many (e.g. both split/no split, MCG and SCG)</w:t>
      </w:r>
      <w:r w:rsidR="00E356D1">
        <w:t xml:space="preserve"> as illustrated in the figure below. This also means </w:t>
      </w:r>
      <w:r w:rsidR="00E356D1" w:rsidRPr="00BB4427">
        <w:t>that</w:t>
      </w:r>
      <w:r w:rsidR="00457E82" w:rsidRPr="00BB4427">
        <w:t xml:space="preserve"> there will be</w:t>
      </w:r>
      <w:r w:rsidR="00E356D1" w:rsidRPr="00BB4427">
        <w:t xml:space="preserve"> a large number of </w:t>
      </w:r>
      <w:r w:rsidRPr="00BB4427">
        <w:t>handover</w:t>
      </w:r>
      <w:r w:rsidR="003D78EB" w:rsidRPr="00BB4427">
        <w:t>/reconfiguration</w:t>
      </w:r>
      <w:r w:rsidRPr="00BB4427">
        <w:t xml:space="preserve"> scenarios (e.g. MCG-&gt;MCG, MCG-&gt;SCG, SCG-&gt;SCG</w:t>
      </w:r>
      <w:r w:rsidR="00E356D1" w:rsidRPr="00BB4427">
        <w:t>, with/without splits</w:t>
      </w:r>
      <w:r w:rsidRPr="00BB4427">
        <w:t>)</w:t>
      </w:r>
      <w:r w:rsidR="00DF2D58" w:rsidRPr="00BB4427">
        <w:t xml:space="preserve"> </w:t>
      </w:r>
      <w:r w:rsidR="00457E82" w:rsidRPr="00BB4427">
        <w:t xml:space="preserve">that </w:t>
      </w:r>
      <w:r w:rsidR="00DF2D58" w:rsidRPr="00BB4427">
        <w:t>needs to be supported</w:t>
      </w:r>
      <w:r w:rsidRPr="00BB4427">
        <w:t>.</w:t>
      </w:r>
      <w:r w:rsidR="00404BED" w:rsidRPr="00BB4427">
        <w:t xml:space="preserve"> The handling of this is discussed further in [</w:t>
      </w:r>
      <w:r w:rsidR="00BB4427" w:rsidRPr="00BB4427">
        <w:t>R2-1702720</w:t>
      </w:r>
      <w:r w:rsidR="00404BED" w:rsidRPr="00BB4427">
        <w:t>].</w:t>
      </w:r>
      <w:r w:rsidR="00F724AF" w:rsidRPr="00BB4427">
        <w:t xml:space="preserve"> For this reason, it is </w:t>
      </w:r>
      <w:r w:rsidR="002B2C3F" w:rsidRPr="00BB4427">
        <w:t>beneficial</w:t>
      </w:r>
      <w:r w:rsidR="00A64F72" w:rsidRPr="00BB4427">
        <w:t xml:space="preserve"> </w:t>
      </w:r>
      <w:r w:rsidR="00F724AF" w:rsidRPr="00BB4427">
        <w:t>to consider solutions minimizing the UE impacts of supporting</w:t>
      </w:r>
      <w:r w:rsidR="00F724AF">
        <w:t xml:space="preserve"> these bearer combinations</w:t>
      </w:r>
      <w:r w:rsidR="000B6B92">
        <w:t xml:space="preserve"> e.g. to reduce complexity in the standard, </w:t>
      </w:r>
      <w:r w:rsidR="002B2C3F">
        <w:t>implementation,</w:t>
      </w:r>
      <w:r w:rsidR="000B6B92">
        <w:t xml:space="preserve"> and testing</w:t>
      </w:r>
      <w:r w:rsidR="00404BED">
        <w:t>, at the same time without reducing the flexibility in the network to support different bearer termination points</w:t>
      </w:r>
    </w:p>
    <w:p w14:paraId="3F668EEB" w14:textId="4E34116D" w:rsidR="007503D0" w:rsidRDefault="00BE045E" w:rsidP="00CE0424">
      <w:pPr>
        <w:pStyle w:val="BodyText"/>
      </w:pPr>
      <w:r w:rsidRPr="00BE045E">
        <w:t xml:space="preserve"> </w:t>
      </w:r>
      <w:r w:rsidRPr="007503D0">
        <w:rPr>
          <w:noProof/>
          <w:lang w:val="fi-FI" w:eastAsia="fi-FI"/>
        </w:rPr>
        <w:drawing>
          <wp:inline distT="0" distB="0" distL="0" distR="0" wp14:anchorId="125E7C92" wp14:editId="4DDDA54F">
            <wp:extent cx="4114800" cy="3562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4800" cy="3562350"/>
                    </a:xfrm>
                    <a:prstGeom prst="rect">
                      <a:avLst/>
                    </a:prstGeom>
                    <a:noFill/>
                    <a:ln>
                      <a:noFill/>
                    </a:ln>
                  </pic:spPr>
                </pic:pic>
              </a:graphicData>
            </a:graphic>
          </wp:inline>
        </w:drawing>
      </w:r>
    </w:p>
    <w:p w14:paraId="24E6894C" w14:textId="3518BE6D" w:rsidR="00F724AF" w:rsidRDefault="00F724AF" w:rsidP="003E1827">
      <w:pPr>
        <w:pStyle w:val="Heading1"/>
      </w:pPr>
      <w:r>
        <w:lastRenderedPageBreak/>
        <w:t xml:space="preserve">Example deployment </w:t>
      </w:r>
      <w:r w:rsidR="000B6B92">
        <w:t>use cases / scenarios</w:t>
      </w:r>
    </w:p>
    <w:p w14:paraId="613A7BB5" w14:textId="358D5B97" w:rsidR="000B6B92" w:rsidRDefault="000B6B92" w:rsidP="00CD1AA7">
      <w:pPr>
        <w:pStyle w:val="BodyText"/>
      </w:pPr>
      <w:r>
        <w:t>RAN3 TR 38.801 defines both centralized and distributed deployments with and without co-siting of NR and LTE as shown below:</w:t>
      </w:r>
    </w:p>
    <w:p w14:paraId="01BB20A7" w14:textId="4033F681" w:rsidR="000B6B92" w:rsidRPr="00722937" w:rsidRDefault="000B6B92" w:rsidP="000B6B92">
      <w:pPr>
        <w:pStyle w:val="TH"/>
      </w:pPr>
      <w:r w:rsidRPr="00C52A1B">
        <w:object w:dxaOrig="5400" w:dyaOrig="3720" w14:anchorId="00BB0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104.25pt" o:ole="">
            <v:imagedata r:id="rId15" o:title=""/>
          </v:shape>
          <o:OLEObject Type="Embed" ProgID="Visio.Drawing.11" ShapeID="_x0000_i1025" DrawAspect="Content" ObjectID="_1551910414" r:id="rId16"/>
        </w:object>
      </w:r>
      <w:r>
        <w:object w:dxaOrig="4530" w:dyaOrig="3271" w14:anchorId="1E77A920">
          <v:shape id="_x0000_i1026" type="#_x0000_t75" style="width:131.25pt;height:94.5pt" o:ole="">
            <v:imagedata r:id="rId17" o:title=""/>
          </v:shape>
          <o:OLEObject Type="Embed" ProgID="Visio.Drawing.15" ShapeID="_x0000_i1026" DrawAspect="Content" ObjectID="_1551910415" r:id="rId18"/>
        </w:object>
      </w:r>
      <w:r w:rsidRPr="00722937">
        <w:object w:dxaOrig="5835" w:dyaOrig="3900" w14:anchorId="0D75F816">
          <v:shape id="_x0000_i1027" type="#_x0000_t75" style="width:145.5pt;height:96.75pt" o:ole="">
            <v:imagedata r:id="rId19" o:title=""/>
          </v:shape>
          <o:OLEObject Type="Embed" ProgID="Visio.Drawing.11" ShapeID="_x0000_i1027" DrawAspect="Content" ObjectID="_1551910416" r:id="rId20"/>
        </w:object>
      </w:r>
    </w:p>
    <w:p w14:paraId="2368344D" w14:textId="7F0CF074" w:rsidR="000B6B92" w:rsidRDefault="000B6B92" w:rsidP="00CD1AA7">
      <w:pPr>
        <w:pStyle w:val="BodyText"/>
      </w:pPr>
      <w:r>
        <w:t>Out of this we could consider the following scenario</w:t>
      </w:r>
      <w:r w:rsidR="006308DF">
        <w:t>s</w:t>
      </w:r>
      <w:r>
        <w:t>:</w:t>
      </w:r>
    </w:p>
    <w:p w14:paraId="1B40E2F7" w14:textId="6992AF97" w:rsidR="006308DF" w:rsidRDefault="000B6B92" w:rsidP="003E1827">
      <w:pPr>
        <w:pStyle w:val="BodyText"/>
        <w:numPr>
          <w:ilvl w:val="0"/>
          <w:numId w:val="22"/>
        </w:numPr>
      </w:pPr>
      <w:r>
        <w:t xml:space="preserve">Operator deploys EN-DC by adding </w:t>
      </w:r>
      <w:r w:rsidR="006308DF">
        <w:t>new NR</w:t>
      </w:r>
      <w:r w:rsidR="00404BED">
        <w:t xml:space="preserve"> radio</w:t>
      </w:r>
      <w:r w:rsidR="006308DF">
        <w:t xml:space="preserve"> HW at existing </w:t>
      </w:r>
      <w:r w:rsidR="005F2A2C">
        <w:t xml:space="preserve">LTE </w:t>
      </w:r>
      <w:r w:rsidR="006308DF">
        <w:t>sites</w:t>
      </w:r>
    </w:p>
    <w:p w14:paraId="22327801" w14:textId="52B15433" w:rsidR="006308DF" w:rsidRDefault="006308DF" w:rsidP="003E1827">
      <w:pPr>
        <w:pStyle w:val="BodyText"/>
        <w:numPr>
          <w:ilvl w:val="0"/>
          <w:numId w:val="22"/>
        </w:numPr>
      </w:pPr>
      <w:r>
        <w:t xml:space="preserve">Operator deploys new NR </w:t>
      </w:r>
      <w:r w:rsidR="00404BED">
        <w:t xml:space="preserve">gNBs </w:t>
      </w:r>
      <w:r>
        <w:t>at new sites</w:t>
      </w:r>
    </w:p>
    <w:p w14:paraId="266CC965" w14:textId="68465534" w:rsidR="006308DF" w:rsidRDefault="006308DF" w:rsidP="003E1827">
      <w:pPr>
        <w:pStyle w:val="BodyText"/>
        <w:numPr>
          <w:ilvl w:val="0"/>
          <w:numId w:val="22"/>
        </w:numPr>
      </w:pPr>
      <w:r>
        <w:t xml:space="preserve">Operator deploy centralized RAN architecture </w:t>
      </w:r>
      <w:r w:rsidR="003F54A9">
        <w:t>w</w:t>
      </w:r>
      <w:r>
        <w:t>here NR and LTE higher layers (e.g. RRC/PDCP) are terminated.</w:t>
      </w:r>
    </w:p>
    <w:p w14:paraId="232277B4" w14:textId="5AB8244A" w:rsidR="00FA7022" w:rsidRDefault="00FA7022" w:rsidP="006308DF">
      <w:pPr>
        <w:pStyle w:val="BodyText"/>
      </w:pPr>
      <w:r>
        <w:t xml:space="preserve">In the case above there may be different requirements on using different bearer combinations e.g. </w:t>
      </w:r>
    </w:p>
    <w:p w14:paraId="65551F78" w14:textId="0E78AD45" w:rsidR="00FA7022" w:rsidRDefault="00FA7022" w:rsidP="003E1827">
      <w:pPr>
        <w:pStyle w:val="BodyText"/>
        <w:numPr>
          <w:ilvl w:val="0"/>
          <w:numId w:val="24"/>
        </w:numPr>
      </w:pPr>
      <w:bookmarkStart w:id="0" w:name="_GoBack"/>
      <w:bookmarkEnd w:id="0"/>
      <w:r>
        <w:t>In case 1 and 3 the operator may want to use MCG and MCG split bearer to allow fast switching between EN-DC and LTE</w:t>
      </w:r>
      <w:r w:rsidR="00404BED">
        <w:t xml:space="preserve"> without the need to relocate or re-establish PDCP</w:t>
      </w:r>
      <w:r>
        <w:t>.</w:t>
      </w:r>
    </w:p>
    <w:p w14:paraId="33207038" w14:textId="77CC1BB8" w:rsidR="00FA7022" w:rsidRDefault="00FA7022" w:rsidP="003E1827">
      <w:pPr>
        <w:pStyle w:val="BodyText"/>
        <w:numPr>
          <w:ilvl w:val="0"/>
          <w:numId w:val="24"/>
        </w:numPr>
      </w:pPr>
      <w:r>
        <w:t xml:space="preserve">In case 1 and 2 the operator may want to use SCG and SCG split bearer to utilize new NR HW with higher capability and/or </w:t>
      </w:r>
      <w:r w:rsidR="00404BED">
        <w:t xml:space="preserve">in case 2 </w:t>
      </w:r>
      <w:r>
        <w:t>to optimize transport path for NR traffic and/or minimize LTE impact</w:t>
      </w:r>
    </w:p>
    <w:p w14:paraId="0EC815C1" w14:textId="161159B8" w:rsidR="00FA7022" w:rsidRDefault="00FA7022" w:rsidP="00FA7022">
      <w:pPr>
        <w:pStyle w:val="BodyText"/>
      </w:pPr>
    </w:p>
    <w:p w14:paraId="40A6EE1D" w14:textId="7761B767" w:rsidR="00FA7022" w:rsidRDefault="002853B8" w:rsidP="00FA7022">
      <w:pPr>
        <w:pStyle w:val="Observation"/>
      </w:pPr>
      <w:r>
        <w:t xml:space="preserve">Depending on deployment, there </w:t>
      </w:r>
      <w:r w:rsidR="00FA7022">
        <w:t>are</w:t>
      </w:r>
      <w:r>
        <w:t xml:space="preserve"> gains of</w:t>
      </w:r>
      <w:r w:rsidR="00FA7022">
        <w:t xml:space="preserve"> different MCG and SCG termination options.</w:t>
      </w:r>
    </w:p>
    <w:p w14:paraId="097CD577" w14:textId="7EED33EC" w:rsidR="00FA7022" w:rsidRDefault="00404BED" w:rsidP="00FA7022">
      <w:pPr>
        <w:pStyle w:val="Observation"/>
      </w:pPr>
      <w:r>
        <w:t xml:space="preserve">The current RAN2 agreement </w:t>
      </w:r>
      <w:r w:rsidR="00FA7022">
        <w:t>supports bearer termination in both MeNB and SeNB.</w:t>
      </w:r>
    </w:p>
    <w:p w14:paraId="32ABB6AB" w14:textId="7370E728" w:rsidR="00FA7022" w:rsidRDefault="00A64F72" w:rsidP="00A64F72">
      <w:pPr>
        <w:pStyle w:val="Heading1"/>
        <w:pBdr>
          <w:top w:val="single" w:sz="12" w:space="0" w:color="auto"/>
        </w:pBdr>
      </w:pPr>
      <w:r>
        <w:t xml:space="preserve">Possibilities </w:t>
      </w:r>
      <w:r w:rsidR="00FA7022">
        <w:t>to minimize UE and RAN2 impacts of different bearer termination options</w:t>
      </w:r>
    </w:p>
    <w:p w14:paraId="21556F7A" w14:textId="1287ECF6" w:rsidR="00FA7022" w:rsidRDefault="00492A74" w:rsidP="00FA7022">
      <w:pPr>
        <w:pStyle w:val="BodyText"/>
      </w:pPr>
      <w:r>
        <w:t xml:space="preserve">In this section some high level </w:t>
      </w:r>
      <w:r w:rsidR="002B2C3F">
        <w:t>solutions</w:t>
      </w:r>
      <w:r w:rsidR="00A64F72">
        <w:t xml:space="preserve"> are </w:t>
      </w:r>
      <w:r w:rsidR="00CE7D7A">
        <w:t xml:space="preserve">considered </w:t>
      </w:r>
      <w:r>
        <w:t xml:space="preserve">on how the differences between the bearer options </w:t>
      </w:r>
      <w:r w:rsidR="002853B8">
        <w:t xml:space="preserve">could </w:t>
      </w:r>
      <w:r>
        <w:t>be minimized in the RAN2 specifications</w:t>
      </w:r>
      <w:r w:rsidR="002853B8">
        <w:t xml:space="preserve"> if a need for simplification is seen. However, this should be done w</w:t>
      </w:r>
      <w:r>
        <w:t xml:space="preserve">ithout reducing the flexibility to terminate the bearers </w:t>
      </w:r>
      <w:r w:rsidR="00D910EA">
        <w:t xml:space="preserve">in </w:t>
      </w:r>
      <w:r>
        <w:t>both MeNB and SeNB.</w:t>
      </w:r>
    </w:p>
    <w:p w14:paraId="120FF84F" w14:textId="342A21F2" w:rsidR="00CE7D7A" w:rsidRDefault="00CE7D7A" w:rsidP="00A64F72">
      <w:pPr>
        <w:pStyle w:val="Heading2"/>
      </w:pPr>
      <w:r>
        <w:t>Use the same</w:t>
      </w:r>
      <w:r w:rsidR="00A64F72">
        <w:t xml:space="preserve"> or harmonized</w:t>
      </w:r>
      <w:r>
        <w:t xml:space="preserve"> PDCP protocol for both MCG and SCG bearers</w:t>
      </w:r>
    </w:p>
    <w:p w14:paraId="20BBEF86" w14:textId="039A5C22" w:rsidR="00CE7D7A" w:rsidRDefault="00CE7D7A" w:rsidP="00FA7022">
      <w:pPr>
        <w:pStyle w:val="BodyText"/>
      </w:pPr>
      <w:r>
        <w:t xml:space="preserve">One difference today between MCG and SCG split bearers for EN-DC is the assumption that the former use LTE PDCP protocol and the latter use NR PDCP protocol. </w:t>
      </w:r>
      <w:r w:rsidR="002853B8">
        <w:t>In principle, both specifications support same functionality (like reordering) so there should not be big complexity from different specifications. However, if big complexity is foreseen, o</w:t>
      </w:r>
      <w:r>
        <w:t xml:space="preserve">ne possible way to minimize the difference is to use the same protocol e.g. either use NR PDCP protocol for both cases or use a common </w:t>
      </w:r>
      <w:r w:rsidR="002B2C3F">
        <w:t xml:space="preserve">harmonized </w:t>
      </w:r>
      <w:r>
        <w:t xml:space="preserve">PDCP protocol </w:t>
      </w:r>
      <w:r w:rsidR="002B2C3F">
        <w:t xml:space="preserve">e.g. </w:t>
      </w:r>
      <w:r>
        <w:t>evolved from LTE protocol.</w:t>
      </w:r>
    </w:p>
    <w:p w14:paraId="16707913" w14:textId="49F38B44" w:rsidR="00CE7D7A" w:rsidRDefault="00CE7D7A" w:rsidP="00FA7022">
      <w:pPr>
        <w:pStyle w:val="BodyText"/>
      </w:pPr>
      <w:r>
        <w:t>In this way</w:t>
      </w:r>
      <w:r w:rsidR="002853B8">
        <w:t>, if the UE would be configured both with MCG split DRB and SCG (split) DRB</w:t>
      </w:r>
      <w:r>
        <w:t xml:space="preserve"> the UE would use the same </w:t>
      </w:r>
      <w:r w:rsidR="002853B8">
        <w:t xml:space="preserve">PDCP </w:t>
      </w:r>
      <w:r>
        <w:t>protocol</w:t>
      </w:r>
      <w:r w:rsidR="00CC7914">
        <w:t>,</w:t>
      </w:r>
      <w:r w:rsidR="00A64F72">
        <w:t xml:space="preserve"> which c</w:t>
      </w:r>
      <w:r>
        <w:t xml:space="preserve">ould </w:t>
      </w:r>
      <w:r w:rsidR="00CD6ED2">
        <w:t>simplify</w:t>
      </w:r>
      <w:r>
        <w:t xml:space="preserve"> </w:t>
      </w:r>
      <w:r w:rsidR="00CC7914">
        <w:t>implementation</w:t>
      </w:r>
      <w:r>
        <w:t xml:space="preserve"> and testing. </w:t>
      </w:r>
    </w:p>
    <w:p w14:paraId="7EEE66E6" w14:textId="47F120E1" w:rsidR="002B2C3F" w:rsidRDefault="002B2C3F" w:rsidP="002B2C3F">
      <w:pPr>
        <w:pStyle w:val="Observation"/>
        <w:tabs>
          <w:tab w:val="clear" w:pos="1701"/>
        </w:tabs>
      </w:pPr>
      <w:r>
        <w:t>Using the same or harmonized PDCP protocol for both MCG and SCG bearers cou</w:t>
      </w:r>
      <w:r w:rsidRPr="007247D5">
        <w:t>ld simplify implementation and testing</w:t>
      </w:r>
      <w:r>
        <w:t>.</w:t>
      </w:r>
    </w:p>
    <w:p w14:paraId="1A5BD1F8" w14:textId="53AEECB5" w:rsidR="00CE7D7A" w:rsidRDefault="00CE7D7A" w:rsidP="00FA7022">
      <w:pPr>
        <w:pStyle w:val="BodyText"/>
      </w:pPr>
    </w:p>
    <w:p w14:paraId="78BBC540" w14:textId="78EDB878" w:rsidR="00CE7D7A" w:rsidRDefault="00A64F72" w:rsidP="00A64F72">
      <w:pPr>
        <w:pStyle w:val="Heading2"/>
      </w:pPr>
      <w:r>
        <w:lastRenderedPageBreak/>
        <w:t xml:space="preserve">Harmonize </w:t>
      </w:r>
      <w:r w:rsidR="00CE7D7A">
        <w:t xml:space="preserve">security </w:t>
      </w:r>
      <w:r>
        <w:t xml:space="preserve">handling </w:t>
      </w:r>
      <w:r w:rsidR="00786504">
        <w:t>for both</w:t>
      </w:r>
      <w:r w:rsidR="00CE7D7A">
        <w:t xml:space="preserve"> MCG and SCG bearers</w:t>
      </w:r>
    </w:p>
    <w:p w14:paraId="016CDBDA" w14:textId="060D5F58" w:rsidR="00CD6ED2" w:rsidRDefault="00CE7D7A" w:rsidP="00A64F72">
      <w:r>
        <w:t xml:space="preserve">Currently SCG bearers are assumed to use S-KeNB for deriving UP encryption keys (RAN2 agreement). Given however that the MeNB </w:t>
      </w:r>
      <w:r w:rsidR="00786504">
        <w:t>also</w:t>
      </w:r>
      <w:r>
        <w:t xml:space="preserve"> have access to the S-KeNB it would be possible to use S-KeNB also for MCG bearers</w:t>
      </w:r>
      <w:r w:rsidR="00CD6ED2">
        <w:t xml:space="preserve">. Security wise this is ok if the UE is only configured with either MCG or SCG bearers. </w:t>
      </w:r>
    </w:p>
    <w:p w14:paraId="7567B2E3" w14:textId="24E7D6F8" w:rsidR="00BE6A24" w:rsidRDefault="002B2C3F" w:rsidP="00A64F72">
      <w:r>
        <w:t>This would work well if the UE has does not have both MCG and SCG bearers at the same time. If this needs to be supported th</w:t>
      </w:r>
      <w:r w:rsidR="00315990">
        <w:t>e</w:t>
      </w:r>
      <w:r>
        <w:t xml:space="preserve">n </w:t>
      </w:r>
      <w:r w:rsidR="007247D5">
        <w:t>it</w:t>
      </w:r>
      <w:r w:rsidR="00786504">
        <w:t xml:space="preserve"> would </w:t>
      </w:r>
      <w:r>
        <w:t xml:space="preserve">most likely for security reasons </w:t>
      </w:r>
      <w:r w:rsidR="00786504">
        <w:t xml:space="preserve">be </w:t>
      </w:r>
      <w:r w:rsidR="00A64F72">
        <w:t xml:space="preserve">required </w:t>
      </w:r>
      <w:r w:rsidR="00786504">
        <w:t>to explicitly signal at bearer setup which key shou</w:t>
      </w:r>
      <w:r w:rsidR="00BE6A24">
        <w:t>ld be used i.e. KeNB or S-KeNB.</w:t>
      </w:r>
      <w:r>
        <w:t xml:space="preserve"> Given however with the agreement to support both MCG and SCG split bearer it could be questioned if simultaneous MCG and SCG bearers are required.</w:t>
      </w:r>
    </w:p>
    <w:p w14:paraId="098BAC6A" w14:textId="51A52251" w:rsidR="00BE6A24" w:rsidRDefault="00BE6A24" w:rsidP="00A64F72">
      <w:r>
        <w:t>One</w:t>
      </w:r>
      <w:r w:rsidR="00A64F72">
        <w:t xml:space="preserve"> possible</w:t>
      </w:r>
      <w:r>
        <w:t xml:space="preserve"> benefit with de-coupl</w:t>
      </w:r>
      <w:r w:rsidR="00A64F72">
        <w:t>ing</w:t>
      </w:r>
      <w:r>
        <w:t xml:space="preserve"> the key from the MCG and SCG bearer is that question </w:t>
      </w:r>
      <w:r w:rsidR="00A64F72">
        <w:t xml:space="preserve">of </w:t>
      </w:r>
      <w:r>
        <w:t>where the bearer is terminated is hidden from the UE which makes it possible in some cases to avoid re-location and re-establishment of PDCP (see discussion below).</w:t>
      </w:r>
    </w:p>
    <w:p w14:paraId="6E0E9FF9" w14:textId="1F019A87" w:rsidR="00786504" w:rsidRDefault="00A64F72" w:rsidP="00A64F72">
      <w:pPr>
        <w:pStyle w:val="Observation"/>
        <w:tabs>
          <w:tab w:val="clear" w:pos="1701"/>
        </w:tabs>
      </w:pPr>
      <w:r>
        <w:t>It should be considered if the security handling f</w:t>
      </w:r>
      <w:r w:rsidR="00BE6A24">
        <w:t>or MCG and SCG bearers</w:t>
      </w:r>
      <w:r>
        <w:t xml:space="preserve"> could be harmonized </w:t>
      </w:r>
      <w:r w:rsidR="002B2C3F">
        <w:t>to</w:t>
      </w:r>
      <w:r>
        <w:t xml:space="preserve"> minimize the differences between the bearer types and </w:t>
      </w:r>
      <w:r w:rsidR="00BE6A24">
        <w:t xml:space="preserve">hide the termination point from the radio interface. </w:t>
      </w:r>
    </w:p>
    <w:p w14:paraId="3B21B240" w14:textId="01894987" w:rsidR="00786504" w:rsidRDefault="00A64F72" w:rsidP="00A64F72">
      <w:pPr>
        <w:pStyle w:val="Heading2"/>
      </w:pPr>
      <w:r>
        <w:t>Possible b</w:t>
      </w:r>
      <w:r w:rsidR="00786504">
        <w:t>enefits of harmonizing MCG and SCG bearers</w:t>
      </w:r>
    </w:p>
    <w:p w14:paraId="59D0A9FA" w14:textId="3A1A95B3" w:rsidR="00DF613A" w:rsidRDefault="00DF613A" w:rsidP="00A64F72">
      <w:r>
        <w:t>The following benefits are identified with the harmonization of MCG and SCG bearers:</w:t>
      </w:r>
    </w:p>
    <w:p w14:paraId="38C7AD49" w14:textId="48740AAF" w:rsidR="00DF613A" w:rsidRDefault="002853B8" w:rsidP="00A64F72">
      <w:pPr>
        <w:pStyle w:val="ListParagraph"/>
        <w:numPr>
          <w:ilvl w:val="0"/>
          <w:numId w:val="24"/>
        </w:numPr>
      </w:pPr>
      <w:r>
        <w:t xml:space="preserve">A bit less </w:t>
      </w:r>
      <w:r w:rsidR="00DF613A">
        <w:t>specification work since only a single PDCP layer support</w:t>
      </w:r>
      <w:r w:rsidR="002B2C3F">
        <w:t>ing</w:t>
      </w:r>
      <w:r w:rsidR="00DF613A">
        <w:t xml:space="preserve"> both NR and LTE RAT needs to be </w:t>
      </w:r>
      <w:r>
        <w:t>maintained</w:t>
      </w:r>
    </w:p>
    <w:p w14:paraId="0C8E60F0" w14:textId="26CAB38B" w:rsidR="00DF613A" w:rsidRDefault="002853B8" w:rsidP="00A64F72">
      <w:pPr>
        <w:pStyle w:val="ListParagraph"/>
        <w:numPr>
          <w:ilvl w:val="0"/>
          <w:numId w:val="24"/>
        </w:numPr>
      </w:pPr>
      <w:r>
        <w:t xml:space="preserve">In some scenarios fewer </w:t>
      </w:r>
      <w:r w:rsidR="00DF613A">
        <w:t>or more harmonized re-configuration cases need</w:t>
      </w:r>
      <w:r w:rsidR="002B2C3F">
        <w:t>s</w:t>
      </w:r>
      <w:r w:rsidR="00DF613A">
        <w:t xml:space="preserve"> to be specified. E.g. no NR PDCP to LTE PDCP and vice versa.</w:t>
      </w:r>
    </w:p>
    <w:p w14:paraId="6628FD9C" w14:textId="19E8E213" w:rsidR="00DF613A" w:rsidRDefault="00DF613A" w:rsidP="00A64F72">
      <w:pPr>
        <w:pStyle w:val="ListParagraph"/>
        <w:numPr>
          <w:ilvl w:val="0"/>
          <w:numId w:val="24"/>
        </w:numPr>
      </w:pPr>
      <w:r>
        <w:t>Potential to simplify / harmonize</w:t>
      </w:r>
      <w:r w:rsidR="00A64F72">
        <w:t xml:space="preserve"> UE</w:t>
      </w:r>
      <w:r>
        <w:t xml:space="preserve"> </w:t>
      </w:r>
      <w:r w:rsidR="00A64F72">
        <w:t>configuration</w:t>
      </w:r>
      <w:r>
        <w:t xml:space="preserve"> e.g. UE needs a “common” higher layer configuration (PDCP) and one or two “access specific” lower layer configuration (e.g. RLC/MAC)</w:t>
      </w:r>
    </w:p>
    <w:p w14:paraId="12CDC4D8" w14:textId="5CED874F" w:rsidR="00DF613A" w:rsidRDefault="00DF613A" w:rsidP="00DF613A">
      <w:pPr>
        <w:pStyle w:val="ListParagraph"/>
        <w:numPr>
          <w:ilvl w:val="0"/>
          <w:numId w:val="24"/>
        </w:numPr>
      </w:pPr>
      <w:r>
        <w:t xml:space="preserve">Performance wise there could be </w:t>
      </w:r>
      <w:r w:rsidR="00A64F72">
        <w:t>benefits</w:t>
      </w:r>
      <w:r>
        <w:t xml:space="preserve"> that the PDCP layer does not need to be re-established in some scenarios</w:t>
      </w:r>
      <w:r w:rsidRPr="00DF613A">
        <w:t xml:space="preserve"> </w:t>
      </w:r>
      <w:r>
        <w:t>(thus avoiding the associated flushing of RLC buffer). For instance:</w:t>
      </w:r>
    </w:p>
    <w:p w14:paraId="7B053FA6" w14:textId="0ADC3A66" w:rsidR="00DF613A" w:rsidRDefault="00DF613A" w:rsidP="00DF613A">
      <w:pPr>
        <w:pStyle w:val="ListParagraph"/>
        <w:numPr>
          <w:ilvl w:val="1"/>
          <w:numId w:val="24"/>
        </w:numPr>
      </w:pPr>
      <w:r>
        <w:t>if the UE is assigned an SCG split bearer in a NR SeNB it may be possible to keep that bearer even if the NR leg temporarily is blocked or removed to reduce UE power consumption. In baseline solution the network has no choice but to move the bearer to an MCG bearer and flush the RLC on the MCG leg.</w:t>
      </w:r>
    </w:p>
    <w:p w14:paraId="1367B174" w14:textId="18337059" w:rsidR="00DF613A" w:rsidRDefault="00DF613A" w:rsidP="00DF613A">
      <w:pPr>
        <w:pStyle w:val="ListParagraph"/>
        <w:numPr>
          <w:ilvl w:val="1"/>
          <w:numId w:val="24"/>
        </w:numPr>
      </w:pPr>
      <w:r>
        <w:t xml:space="preserve">if the network knows the UE will or </w:t>
      </w:r>
      <w:r w:rsidR="008B0891">
        <w:t>can enter</w:t>
      </w:r>
      <w:r>
        <w:t xml:space="preserve"> EN-DC when the UE returns from RRC_INACTIVE it can choose to setup an SCG split bearer in a NR SeNB in advance of activating the NR radio leg. This makes it possible to later move to a full SCG split bearer without the need to flush the RLC of the MCG leg. </w:t>
      </w:r>
    </w:p>
    <w:p w14:paraId="5C7758BA" w14:textId="4B8FA4F6" w:rsidR="008B0891" w:rsidRPr="00AA17E8" w:rsidRDefault="00DF613A" w:rsidP="00DF613A">
      <w:pPr>
        <w:pStyle w:val="TOC1"/>
        <w:rPr>
          <w:rFonts w:ascii="Calibri" w:eastAsia="SimSun" w:hAnsi="Calibri"/>
          <w:sz w:val="22"/>
        </w:rPr>
      </w:pPr>
      <w:r w:rsidRPr="00AA17E8">
        <w:t>Proposal 1</w:t>
      </w:r>
      <w:r w:rsidRPr="00AA17E8">
        <w:rPr>
          <w:rFonts w:ascii="Calibri" w:eastAsia="SimSun" w:hAnsi="Calibri"/>
          <w:sz w:val="22"/>
        </w:rPr>
        <w:tab/>
      </w:r>
      <w:r w:rsidR="00A64F72">
        <w:rPr>
          <w:rFonts w:ascii="Calibri" w:eastAsia="SimSun" w:hAnsi="Calibri"/>
          <w:sz w:val="22"/>
        </w:rPr>
        <w:t xml:space="preserve">For RAN2 to consider possible harmonization of MCG and SCG bearers </w:t>
      </w:r>
      <w:r w:rsidR="008B0891" w:rsidRPr="00AA17E8">
        <w:rPr>
          <w:rFonts w:ascii="Calibri" w:eastAsia="SimSun" w:hAnsi="Calibri"/>
          <w:sz w:val="22"/>
        </w:rPr>
        <w:t xml:space="preserve">from a radio interface point of view. </w:t>
      </w:r>
    </w:p>
    <w:p w14:paraId="522CD7E3" w14:textId="550E422D" w:rsidR="00C01F33" w:rsidRDefault="00C01F33" w:rsidP="00CE0424">
      <w:pPr>
        <w:pStyle w:val="Heading1"/>
      </w:pPr>
      <w:r w:rsidRPr="00CE0424">
        <w:t>Conclusion</w:t>
      </w:r>
    </w:p>
    <w:p w14:paraId="21FDF3AC" w14:textId="7C78C9A7" w:rsidR="008B0891" w:rsidRDefault="00D75426" w:rsidP="00315990">
      <w:r>
        <w:t>The following observations is made:</w:t>
      </w:r>
    </w:p>
    <w:p w14:paraId="0266BC66" w14:textId="77777777" w:rsidR="00A64F72" w:rsidRDefault="00A64F72" w:rsidP="002B2C3F">
      <w:pPr>
        <w:pStyle w:val="Observation"/>
        <w:numPr>
          <w:ilvl w:val="0"/>
          <w:numId w:val="27"/>
        </w:numPr>
      </w:pPr>
      <w:r>
        <w:t>There are both pros / cons with the different MCG and SCG termination options.</w:t>
      </w:r>
    </w:p>
    <w:p w14:paraId="3A563F8A" w14:textId="77777777" w:rsidR="00A64F72" w:rsidRDefault="00A64F72" w:rsidP="00A64F72">
      <w:pPr>
        <w:pStyle w:val="Observation"/>
      </w:pPr>
      <w:r>
        <w:t>The current RAN2 agreement supports bearer termination in both MeNB and SeNB.</w:t>
      </w:r>
    </w:p>
    <w:p w14:paraId="53BD95AA" w14:textId="392E806D" w:rsidR="00A64F72" w:rsidRDefault="00A64F72" w:rsidP="00A64F72">
      <w:pPr>
        <w:pStyle w:val="Observation"/>
        <w:tabs>
          <w:tab w:val="clear" w:pos="1701"/>
        </w:tabs>
      </w:pPr>
      <w:r>
        <w:t>Using the same or harmonized PDCP protocol for both MCG and SCG bearers cou</w:t>
      </w:r>
      <w:r w:rsidRPr="007247D5">
        <w:t>ld simplify standardization, implementation, and testing</w:t>
      </w:r>
      <w:r>
        <w:t>.</w:t>
      </w:r>
    </w:p>
    <w:p w14:paraId="0BBF2D0F" w14:textId="7945E593" w:rsidR="00D75426" w:rsidRPr="00315990" w:rsidRDefault="002B2C3F" w:rsidP="00D75426">
      <w:pPr>
        <w:pStyle w:val="Observation"/>
        <w:tabs>
          <w:tab w:val="clear" w:pos="1701"/>
        </w:tabs>
      </w:pPr>
      <w:r>
        <w:t xml:space="preserve">It should be considered if the security handling for MCG and SCG bearers could be harmonized to minimize the differences between the bearer types and hide the termination point from the radio interface. </w:t>
      </w:r>
    </w:p>
    <w:p w14:paraId="3E21BE89" w14:textId="4AF5B842" w:rsidR="00D75426" w:rsidRPr="00A64F72" w:rsidRDefault="00D75426" w:rsidP="00D75426">
      <w:pPr>
        <w:rPr>
          <w:lang w:val="en-US"/>
        </w:rPr>
      </w:pPr>
      <w:r>
        <w:t xml:space="preserve">Based on these </w:t>
      </w:r>
      <w:r w:rsidRPr="00A64F72">
        <w:rPr>
          <w:lang w:val="en-US"/>
        </w:rPr>
        <w:t xml:space="preserve">observations the following proposal is made. </w:t>
      </w:r>
    </w:p>
    <w:p w14:paraId="2246AE27" w14:textId="77777777" w:rsidR="002B2C3F" w:rsidRPr="00AA17E8" w:rsidRDefault="002B2C3F" w:rsidP="002B2C3F">
      <w:pPr>
        <w:pStyle w:val="TOC1"/>
        <w:rPr>
          <w:rFonts w:ascii="Calibri" w:eastAsia="SimSun" w:hAnsi="Calibri"/>
          <w:sz w:val="22"/>
        </w:rPr>
      </w:pPr>
      <w:r w:rsidRPr="00AA17E8">
        <w:t>Proposal 1</w:t>
      </w:r>
      <w:r w:rsidRPr="00AA17E8">
        <w:rPr>
          <w:rFonts w:ascii="Calibri" w:eastAsia="SimSun" w:hAnsi="Calibri"/>
          <w:sz w:val="22"/>
        </w:rPr>
        <w:tab/>
      </w:r>
      <w:r>
        <w:rPr>
          <w:rFonts w:ascii="Calibri" w:eastAsia="SimSun" w:hAnsi="Calibri"/>
          <w:sz w:val="22"/>
        </w:rPr>
        <w:t xml:space="preserve">For RAN2 to consider possible harmonization of MCG and SCG bearers </w:t>
      </w:r>
      <w:r w:rsidRPr="00AA17E8">
        <w:rPr>
          <w:rFonts w:ascii="Calibri" w:eastAsia="SimSun" w:hAnsi="Calibri"/>
          <w:sz w:val="22"/>
        </w:rPr>
        <w:t xml:space="preserve">from a radio interface point of view. </w:t>
      </w:r>
    </w:p>
    <w:p w14:paraId="0260081F" w14:textId="708D00EA" w:rsidR="003A7EF3" w:rsidRPr="00CE0424" w:rsidRDefault="00AA17E8" w:rsidP="00315990">
      <w:r w:rsidRPr="00D75426" w:rsidDel="00AA17E8">
        <w:t xml:space="preserve"> </w:t>
      </w:r>
      <w:bookmarkStart w:id="1" w:name="_In-sequence_SDU_delivery"/>
      <w:bookmarkStart w:id="2" w:name="_Ref174151459"/>
      <w:bookmarkStart w:id="3" w:name="_Ref189809556"/>
      <w:bookmarkEnd w:id="1"/>
      <w:bookmarkEnd w:id="2"/>
      <w:bookmarkEnd w:id="3"/>
    </w:p>
    <w:sectPr w:rsidR="003A7EF3" w:rsidRPr="00CE0424">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72F43" w14:textId="77777777" w:rsidR="00DF613A" w:rsidRDefault="00DF613A">
      <w:r>
        <w:separator/>
      </w:r>
    </w:p>
  </w:endnote>
  <w:endnote w:type="continuationSeparator" w:id="0">
    <w:p w14:paraId="5E354E17" w14:textId="77777777" w:rsidR="00DF613A" w:rsidRDefault="00DF613A">
      <w:r>
        <w:continuationSeparator/>
      </w:r>
    </w:p>
  </w:endnote>
  <w:endnote w:type="continuationNotice" w:id="1">
    <w:p w14:paraId="1118B959" w14:textId="77777777" w:rsidR="00DF613A" w:rsidRDefault="00DF6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749A320B" w:rsidR="00DF613A" w:rsidRDefault="00DF61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1599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599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440BC" w14:textId="77777777" w:rsidR="00DF613A" w:rsidRDefault="00DF613A">
      <w:r>
        <w:separator/>
      </w:r>
    </w:p>
  </w:footnote>
  <w:footnote w:type="continuationSeparator" w:id="0">
    <w:p w14:paraId="3AC1FED9" w14:textId="77777777" w:rsidR="00DF613A" w:rsidRDefault="00DF613A">
      <w:r>
        <w:continuationSeparator/>
      </w:r>
    </w:p>
  </w:footnote>
  <w:footnote w:type="continuationNotice" w:id="1">
    <w:p w14:paraId="0790E942" w14:textId="77777777" w:rsidR="00DF613A" w:rsidRDefault="00DF61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DF613A" w:rsidRDefault="00DF61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88538D2"/>
    <w:multiLevelType w:val="hybridMultilevel"/>
    <w:tmpl w:val="0E9E3702"/>
    <w:lvl w:ilvl="0" w:tplc="27C28A6C">
      <w:start w:val="2"/>
      <w:numFmt w:val="bullet"/>
      <w:lvlText w:val="-"/>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B8B2812"/>
    <w:multiLevelType w:val="hybridMultilevel"/>
    <w:tmpl w:val="E214A3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1928B3"/>
    <w:multiLevelType w:val="hybridMultilevel"/>
    <w:tmpl w:val="94C498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82579D"/>
    <w:multiLevelType w:val="hybridMultilevel"/>
    <w:tmpl w:val="94C498E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5C6222"/>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FC0F92"/>
    <w:multiLevelType w:val="hybridMultilevel"/>
    <w:tmpl w:val="03D42C6E"/>
    <w:lvl w:ilvl="0" w:tplc="BC220A7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112896"/>
    <w:multiLevelType w:val="hybridMultilevel"/>
    <w:tmpl w:val="D2ACA0B2"/>
    <w:lvl w:ilvl="0" w:tplc="DB7E232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062119"/>
    <w:multiLevelType w:val="hybridMultilevel"/>
    <w:tmpl w:val="02EEC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707B08"/>
    <w:multiLevelType w:val="hybridMultilevel"/>
    <w:tmpl w:val="782A8290"/>
    <w:lvl w:ilvl="0" w:tplc="D0FE42E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8B14AC"/>
    <w:multiLevelType w:val="hybridMultilevel"/>
    <w:tmpl w:val="E8D03854"/>
    <w:lvl w:ilvl="0" w:tplc="27C28A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0"/>
  </w:num>
  <w:num w:numId="4">
    <w:abstractNumId w:val="11"/>
  </w:num>
  <w:num w:numId="5">
    <w:abstractNumId w:val="8"/>
  </w:num>
  <w:num w:numId="6">
    <w:abstractNumId w:val="14"/>
  </w:num>
  <w:num w:numId="7">
    <w:abstractNumId w:val="18"/>
  </w:num>
  <w:num w:numId="8">
    <w:abstractNumId w:val="9"/>
  </w:num>
  <w:num w:numId="9">
    <w:abstractNumId w:val="6"/>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20"/>
  </w:num>
  <w:num w:numId="17">
    <w:abstractNumId w:val="15"/>
  </w:num>
  <w:num w:numId="18">
    <w:abstractNumId w:val="22"/>
  </w:num>
  <w:num w:numId="19">
    <w:abstractNumId w:val="12"/>
  </w:num>
  <w:num w:numId="20">
    <w:abstractNumId w:val="13"/>
  </w:num>
  <w:num w:numId="21">
    <w:abstractNumId w:val="23"/>
  </w:num>
  <w:num w:numId="22">
    <w:abstractNumId w:val="7"/>
  </w:num>
  <w:num w:numId="23">
    <w:abstractNumId w:val="21"/>
  </w:num>
  <w:num w:numId="24">
    <w:abstractNumId w:val="5"/>
  </w:num>
  <w:num w:numId="25">
    <w:abstractNumId w:val="17"/>
  </w:num>
  <w:num w:numId="26">
    <w:abstractNumId w:val="17"/>
    <w:lvlOverride w:ilvl="0">
      <w:startOverride w:val="1"/>
    </w:lvlOverride>
  </w:num>
  <w:num w:numId="27">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3263"/>
    <w:rsid w:val="000444EF"/>
    <w:rsid w:val="00052A07"/>
    <w:rsid w:val="000534E3"/>
    <w:rsid w:val="0005606A"/>
    <w:rsid w:val="00057117"/>
    <w:rsid w:val="000616E7"/>
    <w:rsid w:val="0006487E"/>
    <w:rsid w:val="00065E1A"/>
    <w:rsid w:val="00074EC2"/>
    <w:rsid w:val="00077E5F"/>
    <w:rsid w:val="0008036A"/>
    <w:rsid w:val="00081AE6"/>
    <w:rsid w:val="000855EB"/>
    <w:rsid w:val="00085B52"/>
    <w:rsid w:val="000866F2"/>
    <w:rsid w:val="0009009F"/>
    <w:rsid w:val="00091557"/>
    <w:rsid w:val="000924C1"/>
    <w:rsid w:val="000924F0"/>
    <w:rsid w:val="00093474"/>
    <w:rsid w:val="0009510F"/>
    <w:rsid w:val="000965F3"/>
    <w:rsid w:val="000A1B7B"/>
    <w:rsid w:val="000A56F2"/>
    <w:rsid w:val="000B2719"/>
    <w:rsid w:val="000B3A8F"/>
    <w:rsid w:val="000B4AB9"/>
    <w:rsid w:val="000B58C3"/>
    <w:rsid w:val="000B61E9"/>
    <w:rsid w:val="000B6B92"/>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481A"/>
    <w:rsid w:val="00266214"/>
    <w:rsid w:val="00267C83"/>
    <w:rsid w:val="0027144F"/>
    <w:rsid w:val="00271F3A"/>
    <w:rsid w:val="00273278"/>
    <w:rsid w:val="002737F4"/>
    <w:rsid w:val="002805F5"/>
    <w:rsid w:val="00280751"/>
    <w:rsid w:val="0028280A"/>
    <w:rsid w:val="002853B8"/>
    <w:rsid w:val="00286ACD"/>
    <w:rsid w:val="00287838"/>
    <w:rsid w:val="002907B5"/>
    <w:rsid w:val="00292EB7"/>
    <w:rsid w:val="00296227"/>
    <w:rsid w:val="00296F44"/>
    <w:rsid w:val="0029777D"/>
    <w:rsid w:val="002A055E"/>
    <w:rsid w:val="002A1D4E"/>
    <w:rsid w:val="002A2869"/>
    <w:rsid w:val="002B24D6"/>
    <w:rsid w:val="002B2C3F"/>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5990"/>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54D"/>
    <w:rsid w:val="003D5B1F"/>
    <w:rsid w:val="003D78EB"/>
    <w:rsid w:val="003E15FA"/>
    <w:rsid w:val="003E1827"/>
    <w:rsid w:val="003E55E4"/>
    <w:rsid w:val="003E74E3"/>
    <w:rsid w:val="003F05C7"/>
    <w:rsid w:val="003F2CD4"/>
    <w:rsid w:val="003F54A9"/>
    <w:rsid w:val="003F6BBE"/>
    <w:rsid w:val="004000E8"/>
    <w:rsid w:val="00402E2B"/>
    <w:rsid w:val="00404BED"/>
    <w:rsid w:val="0040512B"/>
    <w:rsid w:val="00405CA5"/>
    <w:rsid w:val="00407CD3"/>
    <w:rsid w:val="00410134"/>
    <w:rsid w:val="00410B72"/>
    <w:rsid w:val="00410F18"/>
    <w:rsid w:val="0041263E"/>
    <w:rsid w:val="00413AAC"/>
    <w:rsid w:val="00417F5D"/>
    <w:rsid w:val="00421105"/>
    <w:rsid w:val="004242F4"/>
    <w:rsid w:val="00427248"/>
    <w:rsid w:val="00437447"/>
    <w:rsid w:val="00441A92"/>
    <w:rsid w:val="00444F56"/>
    <w:rsid w:val="00446488"/>
    <w:rsid w:val="004517AA"/>
    <w:rsid w:val="00452CAC"/>
    <w:rsid w:val="00457565"/>
    <w:rsid w:val="00457B71"/>
    <w:rsid w:val="00457E82"/>
    <w:rsid w:val="004669E2"/>
    <w:rsid w:val="00470C31"/>
    <w:rsid w:val="004734D0"/>
    <w:rsid w:val="0047556B"/>
    <w:rsid w:val="00477768"/>
    <w:rsid w:val="00492A74"/>
    <w:rsid w:val="00492BC5"/>
    <w:rsid w:val="004964F1"/>
    <w:rsid w:val="004A16BC"/>
    <w:rsid w:val="004A2B94"/>
    <w:rsid w:val="004B7C0C"/>
    <w:rsid w:val="004C3898"/>
    <w:rsid w:val="004D36B1"/>
    <w:rsid w:val="004D7EBD"/>
    <w:rsid w:val="004E2680"/>
    <w:rsid w:val="004E28F9"/>
    <w:rsid w:val="004E29CB"/>
    <w:rsid w:val="004E462E"/>
    <w:rsid w:val="004E56DC"/>
    <w:rsid w:val="004E76F4"/>
    <w:rsid w:val="004F0B4E"/>
    <w:rsid w:val="004F0B6C"/>
    <w:rsid w:val="004F2078"/>
    <w:rsid w:val="004F4DA3"/>
    <w:rsid w:val="00506557"/>
    <w:rsid w:val="0050677A"/>
    <w:rsid w:val="005073B1"/>
    <w:rsid w:val="005108D8"/>
    <w:rsid w:val="005116F9"/>
    <w:rsid w:val="005153A7"/>
    <w:rsid w:val="00520D88"/>
    <w:rsid w:val="005219CF"/>
    <w:rsid w:val="00534B59"/>
    <w:rsid w:val="00536759"/>
    <w:rsid w:val="00537C62"/>
    <w:rsid w:val="00546970"/>
    <w:rsid w:val="00554E19"/>
    <w:rsid w:val="0056121F"/>
    <w:rsid w:val="00561FD3"/>
    <w:rsid w:val="00572505"/>
    <w:rsid w:val="00582809"/>
    <w:rsid w:val="0058798C"/>
    <w:rsid w:val="005900FA"/>
    <w:rsid w:val="0059051F"/>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A2C"/>
    <w:rsid w:val="005F2CB1"/>
    <w:rsid w:val="005F3025"/>
    <w:rsid w:val="005F618C"/>
    <w:rsid w:val="005F70BD"/>
    <w:rsid w:val="0060283C"/>
    <w:rsid w:val="00604F14"/>
    <w:rsid w:val="00611B83"/>
    <w:rsid w:val="00613257"/>
    <w:rsid w:val="00620A71"/>
    <w:rsid w:val="00620D80"/>
    <w:rsid w:val="006234A6"/>
    <w:rsid w:val="00630001"/>
    <w:rsid w:val="006308DF"/>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0BB"/>
    <w:rsid w:val="00667EE7"/>
    <w:rsid w:val="00670922"/>
    <w:rsid w:val="00670BE1"/>
    <w:rsid w:val="0067218F"/>
    <w:rsid w:val="006741F2"/>
    <w:rsid w:val="00674CC3"/>
    <w:rsid w:val="00675C72"/>
    <w:rsid w:val="006771F9"/>
    <w:rsid w:val="006776D7"/>
    <w:rsid w:val="00681003"/>
    <w:rsid w:val="006817C9"/>
    <w:rsid w:val="00683ECE"/>
    <w:rsid w:val="00684E5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229"/>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5E1A"/>
    <w:rsid w:val="007247D5"/>
    <w:rsid w:val="00726EA6"/>
    <w:rsid w:val="00727208"/>
    <w:rsid w:val="00727680"/>
    <w:rsid w:val="007348B1"/>
    <w:rsid w:val="007362A6"/>
    <w:rsid w:val="00736D7D"/>
    <w:rsid w:val="00740E58"/>
    <w:rsid w:val="007445A0"/>
    <w:rsid w:val="0074524B"/>
    <w:rsid w:val="00747D8B"/>
    <w:rsid w:val="007503D0"/>
    <w:rsid w:val="00751228"/>
    <w:rsid w:val="007571E1"/>
    <w:rsid w:val="007604B2"/>
    <w:rsid w:val="00765281"/>
    <w:rsid w:val="00766BAD"/>
    <w:rsid w:val="007730BD"/>
    <w:rsid w:val="007755F2"/>
    <w:rsid w:val="00776971"/>
    <w:rsid w:val="00781675"/>
    <w:rsid w:val="0078177E"/>
    <w:rsid w:val="0078304C"/>
    <w:rsid w:val="00783673"/>
    <w:rsid w:val="00785490"/>
    <w:rsid w:val="00786504"/>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639"/>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3906"/>
    <w:rsid w:val="00836348"/>
    <w:rsid w:val="008376AC"/>
    <w:rsid w:val="00837CC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0891"/>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F7E"/>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D65"/>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3F23"/>
    <w:rsid w:val="00A3448A"/>
    <w:rsid w:val="00A36297"/>
    <w:rsid w:val="00A41E2B"/>
    <w:rsid w:val="00A45B74"/>
    <w:rsid w:val="00A52E1D"/>
    <w:rsid w:val="00A61499"/>
    <w:rsid w:val="00A62289"/>
    <w:rsid w:val="00A62A77"/>
    <w:rsid w:val="00A63483"/>
    <w:rsid w:val="00A64F72"/>
    <w:rsid w:val="00A657D7"/>
    <w:rsid w:val="00A660AC"/>
    <w:rsid w:val="00A67E6C"/>
    <w:rsid w:val="00A71B99"/>
    <w:rsid w:val="00A739D0"/>
    <w:rsid w:val="00A761D4"/>
    <w:rsid w:val="00A77EC4"/>
    <w:rsid w:val="00A92879"/>
    <w:rsid w:val="00A9442A"/>
    <w:rsid w:val="00AA016F"/>
    <w:rsid w:val="00AA17E8"/>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735C"/>
    <w:rsid w:val="00AF1C5D"/>
    <w:rsid w:val="00AF42D7"/>
    <w:rsid w:val="00B006FE"/>
    <w:rsid w:val="00B007CB"/>
    <w:rsid w:val="00B02AA9"/>
    <w:rsid w:val="00B02FA3"/>
    <w:rsid w:val="00B05084"/>
    <w:rsid w:val="00B157F9"/>
    <w:rsid w:val="00B20256"/>
    <w:rsid w:val="00B20D09"/>
    <w:rsid w:val="00B24DA9"/>
    <w:rsid w:val="00B2763F"/>
    <w:rsid w:val="00B27AAC"/>
    <w:rsid w:val="00B30929"/>
    <w:rsid w:val="00B372AA"/>
    <w:rsid w:val="00B40445"/>
    <w:rsid w:val="00B41888"/>
    <w:rsid w:val="00B45A52"/>
    <w:rsid w:val="00B46175"/>
    <w:rsid w:val="00B6188F"/>
    <w:rsid w:val="00B62336"/>
    <w:rsid w:val="00B664C7"/>
    <w:rsid w:val="00B739F6"/>
    <w:rsid w:val="00B81A6C"/>
    <w:rsid w:val="00B85DE5"/>
    <w:rsid w:val="00B90F73"/>
    <w:rsid w:val="00B93B59"/>
    <w:rsid w:val="00B9406A"/>
    <w:rsid w:val="00BA2280"/>
    <w:rsid w:val="00BA2A08"/>
    <w:rsid w:val="00BA56D2"/>
    <w:rsid w:val="00BA76E0"/>
    <w:rsid w:val="00BB2A25"/>
    <w:rsid w:val="00BB4427"/>
    <w:rsid w:val="00BB51E9"/>
    <w:rsid w:val="00BC0FDC"/>
    <w:rsid w:val="00BC3053"/>
    <w:rsid w:val="00BC4D2E"/>
    <w:rsid w:val="00BD48AC"/>
    <w:rsid w:val="00BD5F1A"/>
    <w:rsid w:val="00BE045E"/>
    <w:rsid w:val="00BE0FD5"/>
    <w:rsid w:val="00BE1234"/>
    <w:rsid w:val="00BE2FA6"/>
    <w:rsid w:val="00BE333F"/>
    <w:rsid w:val="00BE6A24"/>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649"/>
    <w:rsid w:val="00C279B5"/>
    <w:rsid w:val="00C27C45"/>
    <w:rsid w:val="00C3719D"/>
    <w:rsid w:val="00C54995"/>
    <w:rsid w:val="00C54D41"/>
    <w:rsid w:val="00C60783"/>
    <w:rsid w:val="00C64672"/>
    <w:rsid w:val="00C70697"/>
    <w:rsid w:val="00C72EF4"/>
    <w:rsid w:val="00C75D2F"/>
    <w:rsid w:val="00C767BE"/>
    <w:rsid w:val="00C76E3C"/>
    <w:rsid w:val="00C81568"/>
    <w:rsid w:val="00C86645"/>
    <w:rsid w:val="00C9027A"/>
    <w:rsid w:val="00C9068E"/>
    <w:rsid w:val="00C93C4B"/>
    <w:rsid w:val="00C944AB"/>
    <w:rsid w:val="00C95B40"/>
    <w:rsid w:val="00CA1ED8"/>
    <w:rsid w:val="00CA6400"/>
    <w:rsid w:val="00CB05FB"/>
    <w:rsid w:val="00CB1F63"/>
    <w:rsid w:val="00CB7170"/>
    <w:rsid w:val="00CC040E"/>
    <w:rsid w:val="00CC111F"/>
    <w:rsid w:val="00CC2011"/>
    <w:rsid w:val="00CC3EA0"/>
    <w:rsid w:val="00CC7914"/>
    <w:rsid w:val="00CC7B45"/>
    <w:rsid w:val="00CD1188"/>
    <w:rsid w:val="00CD1AA7"/>
    <w:rsid w:val="00CD2958"/>
    <w:rsid w:val="00CD2ED1"/>
    <w:rsid w:val="00CD337B"/>
    <w:rsid w:val="00CD6ED2"/>
    <w:rsid w:val="00CE0424"/>
    <w:rsid w:val="00CE7561"/>
    <w:rsid w:val="00CE7D7A"/>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305E"/>
    <w:rsid w:val="00D546FF"/>
    <w:rsid w:val="00D55AD5"/>
    <w:rsid w:val="00D576CA"/>
    <w:rsid w:val="00D61AF5"/>
    <w:rsid w:val="00D652B5"/>
    <w:rsid w:val="00D66155"/>
    <w:rsid w:val="00D708B0"/>
    <w:rsid w:val="00D75426"/>
    <w:rsid w:val="00D77B1D"/>
    <w:rsid w:val="00D77C19"/>
    <w:rsid w:val="00D8021F"/>
    <w:rsid w:val="00D80383"/>
    <w:rsid w:val="00D823C6"/>
    <w:rsid w:val="00D86CA3"/>
    <w:rsid w:val="00D871CE"/>
    <w:rsid w:val="00D910EA"/>
    <w:rsid w:val="00D9196D"/>
    <w:rsid w:val="00D92982"/>
    <w:rsid w:val="00DA305E"/>
    <w:rsid w:val="00DA5417"/>
    <w:rsid w:val="00DA56E8"/>
    <w:rsid w:val="00DB0A9F"/>
    <w:rsid w:val="00DB377D"/>
    <w:rsid w:val="00DC2D36"/>
    <w:rsid w:val="00DC53EF"/>
    <w:rsid w:val="00DC5E22"/>
    <w:rsid w:val="00DE5608"/>
    <w:rsid w:val="00DE58D0"/>
    <w:rsid w:val="00DE654F"/>
    <w:rsid w:val="00DF0B6E"/>
    <w:rsid w:val="00DF15E0"/>
    <w:rsid w:val="00DF2D58"/>
    <w:rsid w:val="00DF37A0"/>
    <w:rsid w:val="00DF613A"/>
    <w:rsid w:val="00E110E7"/>
    <w:rsid w:val="00E11B20"/>
    <w:rsid w:val="00E17FA2"/>
    <w:rsid w:val="00E22330"/>
    <w:rsid w:val="00E25DB7"/>
    <w:rsid w:val="00E30B5A"/>
    <w:rsid w:val="00E3123D"/>
    <w:rsid w:val="00E31461"/>
    <w:rsid w:val="00E31D43"/>
    <w:rsid w:val="00E32608"/>
    <w:rsid w:val="00E34188"/>
    <w:rsid w:val="00E34B6E"/>
    <w:rsid w:val="00E35559"/>
    <w:rsid w:val="00E356D1"/>
    <w:rsid w:val="00E3723A"/>
    <w:rsid w:val="00E37860"/>
    <w:rsid w:val="00E446F1"/>
    <w:rsid w:val="00E46886"/>
    <w:rsid w:val="00E47AEF"/>
    <w:rsid w:val="00E53B75"/>
    <w:rsid w:val="00E54E3B"/>
    <w:rsid w:val="00E57565"/>
    <w:rsid w:val="00E63838"/>
    <w:rsid w:val="00E64434"/>
    <w:rsid w:val="00E6687F"/>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6FE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9BC"/>
    <w:rsid w:val="00F4766C"/>
    <w:rsid w:val="00F507D1"/>
    <w:rsid w:val="00F519CE"/>
    <w:rsid w:val="00F51ADA"/>
    <w:rsid w:val="00F607C5"/>
    <w:rsid w:val="00F60DEA"/>
    <w:rsid w:val="00F6302A"/>
    <w:rsid w:val="00F64C2B"/>
    <w:rsid w:val="00F651BE"/>
    <w:rsid w:val="00F67F53"/>
    <w:rsid w:val="00F703BE"/>
    <w:rsid w:val="00F71F69"/>
    <w:rsid w:val="00F724AF"/>
    <w:rsid w:val="00F72B72"/>
    <w:rsid w:val="00F74BB9"/>
    <w:rsid w:val="00F75582"/>
    <w:rsid w:val="00F76EFA"/>
    <w:rsid w:val="00F804BE"/>
    <w:rsid w:val="00F817CE"/>
    <w:rsid w:val="00F8456C"/>
    <w:rsid w:val="00F859D8"/>
    <w:rsid w:val="00F868F5"/>
    <w:rsid w:val="00F9056A"/>
    <w:rsid w:val="00F90F8D"/>
    <w:rsid w:val="00F92782"/>
    <w:rsid w:val="00F93AA9"/>
    <w:rsid w:val="00F95085"/>
    <w:rsid w:val="00F96985"/>
    <w:rsid w:val="00F97838"/>
    <w:rsid w:val="00FA2BB3"/>
    <w:rsid w:val="00FA7022"/>
    <w:rsid w:val="00FB4C80"/>
    <w:rsid w:val="00FB6A6A"/>
    <w:rsid w:val="00FC43C6"/>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512BC48"/>
  <w15:docId w15:val="{BC9E1788-8CB5-40AC-8B70-B9DF12827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853B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853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853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853B8"/>
    <w:pPr>
      <w:numPr>
        <w:ilvl w:val="2"/>
      </w:numPr>
      <w:spacing w:before="120"/>
      <w:outlineLvl w:val="2"/>
    </w:pPr>
    <w:rPr>
      <w:sz w:val="28"/>
      <w:szCs w:val="28"/>
    </w:rPr>
  </w:style>
  <w:style w:type="paragraph" w:styleId="Heading4">
    <w:name w:val="heading 4"/>
    <w:basedOn w:val="Heading3"/>
    <w:next w:val="Normal"/>
    <w:qFormat/>
    <w:rsid w:val="002853B8"/>
    <w:pPr>
      <w:numPr>
        <w:ilvl w:val="3"/>
      </w:numPr>
      <w:outlineLvl w:val="3"/>
    </w:pPr>
    <w:rPr>
      <w:sz w:val="24"/>
      <w:szCs w:val="24"/>
    </w:rPr>
  </w:style>
  <w:style w:type="paragraph" w:styleId="Heading5">
    <w:name w:val="heading 5"/>
    <w:basedOn w:val="Heading4"/>
    <w:next w:val="Normal"/>
    <w:qFormat/>
    <w:rsid w:val="002853B8"/>
    <w:pPr>
      <w:numPr>
        <w:ilvl w:val="4"/>
      </w:numPr>
      <w:outlineLvl w:val="4"/>
    </w:pPr>
    <w:rPr>
      <w:sz w:val="22"/>
      <w:szCs w:val="22"/>
    </w:rPr>
  </w:style>
  <w:style w:type="paragraph" w:styleId="Heading6">
    <w:name w:val="heading 6"/>
    <w:basedOn w:val="Normal"/>
    <w:next w:val="Normal"/>
    <w:qFormat/>
    <w:rsid w:val="002853B8"/>
    <w:pPr>
      <w:keepNext/>
      <w:keepLines/>
      <w:numPr>
        <w:ilvl w:val="5"/>
        <w:numId w:val="1"/>
      </w:numPr>
      <w:spacing w:before="120"/>
      <w:outlineLvl w:val="5"/>
    </w:pPr>
    <w:rPr>
      <w:rFonts w:cs="Arial"/>
    </w:rPr>
  </w:style>
  <w:style w:type="paragraph" w:styleId="Heading7">
    <w:name w:val="heading 7"/>
    <w:basedOn w:val="Normal"/>
    <w:next w:val="Normal"/>
    <w:qFormat/>
    <w:rsid w:val="002853B8"/>
    <w:pPr>
      <w:keepNext/>
      <w:keepLines/>
      <w:numPr>
        <w:ilvl w:val="6"/>
        <w:numId w:val="1"/>
      </w:numPr>
      <w:spacing w:before="120"/>
      <w:outlineLvl w:val="6"/>
    </w:pPr>
    <w:rPr>
      <w:rFonts w:cs="Arial"/>
    </w:rPr>
  </w:style>
  <w:style w:type="paragraph" w:styleId="Heading8">
    <w:name w:val="heading 8"/>
    <w:basedOn w:val="Heading7"/>
    <w:next w:val="Normal"/>
    <w:qFormat/>
    <w:rsid w:val="002853B8"/>
    <w:pPr>
      <w:numPr>
        <w:ilvl w:val="7"/>
      </w:numPr>
      <w:outlineLvl w:val="7"/>
    </w:pPr>
  </w:style>
  <w:style w:type="paragraph" w:styleId="Heading9">
    <w:name w:val="heading 9"/>
    <w:basedOn w:val="Heading8"/>
    <w:next w:val="Normal"/>
    <w:qFormat/>
    <w:rsid w:val="002853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853B8"/>
    <w:pPr>
      <w:spacing w:before="180"/>
      <w:ind w:left="2693" w:hanging="2693"/>
    </w:pPr>
    <w:rPr>
      <w:b w:val="0"/>
      <w:bCs/>
    </w:rPr>
  </w:style>
  <w:style w:type="paragraph" w:styleId="TOC1">
    <w:name w:val="toc 1"/>
    <w:aliases w:val="Observation TOC2"/>
    <w:uiPriority w:val="39"/>
    <w:rsid w:val="002853B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853B8"/>
    <w:pPr>
      <w:keepNext/>
      <w:keepLines/>
      <w:spacing w:before="180"/>
      <w:jc w:val="center"/>
    </w:pPr>
  </w:style>
  <w:style w:type="paragraph" w:styleId="Caption">
    <w:name w:val="caption"/>
    <w:basedOn w:val="Normal"/>
    <w:next w:val="Normal"/>
    <w:qFormat/>
    <w:rsid w:val="002853B8"/>
    <w:pPr>
      <w:spacing w:after="240"/>
      <w:jc w:val="center"/>
    </w:pPr>
    <w:rPr>
      <w:b/>
      <w:bCs/>
    </w:rPr>
  </w:style>
  <w:style w:type="paragraph" w:styleId="TOC5">
    <w:name w:val="toc 5"/>
    <w:aliases w:val="Observation TOC"/>
    <w:basedOn w:val="TOC4"/>
    <w:semiHidden/>
    <w:rsid w:val="002853B8"/>
    <w:pPr>
      <w:tabs>
        <w:tab w:val="right" w:pos="1701"/>
      </w:tabs>
      <w:ind w:left="1701" w:hanging="1701"/>
    </w:pPr>
  </w:style>
  <w:style w:type="paragraph" w:styleId="TOC4">
    <w:name w:val="toc 4"/>
    <w:basedOn w:val="TOC3"/>
    <w:semiHidden/>
    <w:rsid w:val="002853B8"/>
    <w:pPr>
      <w:ind w:left="1418" w:hanging="1418"/>
    </w:pPr>
  </w:style>
  <w:style w:type="paragraph" w:styleId="TOC3">
    <w:name w:val="toc 3"/>
    <w:basedOn w:val="TOC2"/>
    <w:semiHidden/>
    <w:rsid w:val="002853B8"/>
    <w:pPr>
      <w:ind w:left="1134" w:hanging="1134"/>
    </w:pPr>
  </w:style>
  <w:style w:type="paragraph" w:styleId="TOC2">
    <w:name w:val="toc 2"/>
    <w:basedOn w:val="TOC1"/>
    <w:semiHidden/>
    <w:rsid w:val="002853B8"/>
    <w:pPr>
      <w:keepNext w:val="0"/>
      <w:spacing w:before="0"/>
      <w:ind w:left="851" w:hanging="851"/>
    </w:pPr>
    <w:rPr>
      <w:szCs w:val="20"/>
    </w:rPr>
  </w:style>
  <w:style w:type="paragraph" w:styleId="Index2">
    <w:name w:val="index 2"/>
    <w:basedOn w:val="Index1"/>
    <w:semiHidden/>
    <w:rsid w:val="002853B8"/>
    <w:pPr>
      <w:ind w:left="284"/>
    </w:pPr>
  </w:style>
  <w:style w:type="paragraph" w:styleId="Index1">
    <w:name w:val="index 1"/>
    <w:basedOn w:val="Normal"/>
    <w:semiHidden/>
    <w:rsid w:val="002853B8"/>
    <w:pPr>
      <w:keepLines/>
      <w:spacing w:after="0"/>
    </w:pPr>
  </w:style>
  <w:style w:type="paragraph" w:styleId="DocumentMap">
    <w:name w:val="Document Map"/>
    <w:basedOn w:val="Normal"/>
    <w:semiHidden/>
    <w:rsid w:val="002853B8"/>
    <w:pPr>
      <w:shd w:val="clear" w:color="auto" w:fill="000080"/>
    </w:pPr>
    <w:rPr>
      <w:rFonts w:ascii="Tahoma" w:hAnsi="Tahoma" w:cs="Tahoma"/>
    </w:rPr>
  </w:style>
  <w:style w:type="paragraph" w:styleId="ListNumber2">
    <w:name w:val="List Number 2"/>
    <w:basedOn w:val="ListNumber"/>
    <w:rsid w:val="002853B8"/>
    <w:pPr>
      <w:ind w:left="851"/>
    </w:pPr>
  </w:style>
  <w:style w:type="paragraph" w:styleId="ListNumber">
    <w:name w:val="List Number"/>
    <w:basedOn w:val="List"/>
    <w:rsid w:val="002853B8"/>
  </w:style>
  <w:style w:type="paragraph" w:styleId="List">
    <w:name w:val="List"/>
    <w:basedOn w:val="Normal"/>
    <w:rsid w:val="002853B8"/>
    <w:pPr>
      <w:ind w:left="568" w:hanging="284"/>
    </w:pPr>
  </w:style>
  <w:style w:type="paragraph" w:styleId="Header">
    <w:name w:val="header"/>
    <w:rsid w:val="002853B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853B8"/>
    <w:rPr>
      <w:b/>
      <w:bCs/>
      <w:position w:val="6"/>
      <w:sz w:val="16"/>
      <w:szCs w:val="16"/>
    </w:rPr>
  </w:style>
  <w:style w:type="paragraph" w:styleId="FootnoteText">
    <w:name w:val="footnote text"/>
    <w:basedOn w:val="Normal"/>
    <w:semiHidden/>
    <w:rsid w:val="002853B8"/>
    <w:pPr>
      <w:keepLines/>
      <w:spacing w:after="0"/>
      <w:ind w:left="454" w:hanging="454"/>
    </w:pPr>
    <w:rPr>
      <w:sz w:val="16"/>
      <w:szCs w:val="16"/>
    </w:rPr>
  </w:style>
  <w:style w:type="paragraph" w:customStyle="1" w:styleId="3GPPHeader">
    <w:name w:val="3GPP_Header"/>
    <w:basedOn w:val="Normal"/>
    <w:rsid w:val="002853B8"/>
    <w:pPr>
      <w:tabs>
        <w:tab w:val="left" w:pos="1701"/>
        <w:tab w:val="right" w:pos="9639"/>
      </w:tabs>
      <w:spacing w:after="240"/>
    </w:pPr>
    <w:rPr>
      <w:b/>
      <w:sz w:val="24"/>
    </w:rPr>
  </w:style>
  <w:style w:type="paragraph" w:styleId="TOC9">
    <w:name w:val="toc 9"/>
    <w:basedOn w:val="TOC8"/>
    <w:semiHidden/>
    <w:rsid w:val="002853B8"/>
    <w:pPr>
      <w:ind w:left="1418" w:hanging="1418"/>
    </w:pPr>
  </w:style>
  <w:style w:type="paragraph" w:styleId="TOC6">
    <w:name w:val="toc 6"/>
    <w:basedOn w:val="TOC5"/>
    <w:next w:val="Normal"/>
    <w:semiHidden/>
    <w:rsid w:val="002853B8"/>
    <w:pPr>
      <w:ind w:left="1985" w:hanging="1985"/>
    </w:pPr>
  </w:style>
  <w:style w:type="paragraph" w:styleId="TOC7">
    <w:name w:val="toc 7"/>
    <w:basedOn w:val="TOC6"/>
    <w:next w:val="Normal"/>
    <w:semiHidden/>
    <w:rsid w:val="002853B8"/>
    <w:pPr>
      <w:ind w:left="2268" w:hanging="2268"/>
    </w:pPr>
  </w:style>
  <w:style w:type="paragraph" w:styleId="ListBullet2">
    <w:name w:val="List Bullet 2"/>
    <w:basedOn w:val="ListBullet"/>
    <w:rsid w:val="002853B8"/>
    <w:pPr>
      <w:numPr>
        <w:numId w:val="6"/>
      </w:numPr>
    </w:pPr>
  </w:style>
  <w:style w:type="paragraph" w:styleId="ListBullet">
    <w:name w:val="List Bullet"/>
    <w:basedOn w:val="BodyText"/>
    <w:rsid w:val="002853B8"/>
    <w:pPr>
      <w:numPr>
        <w:numId w:val="5"/>
      </w:numPr>
    </w:pPr>
  </w:style>
  <w:style w:type="paragraph" w:styleId="ListBullet3">
    <w:name w:val="List Bullet 3"/>
    <w:basedOn w:val="ListBullet2"/>
    <w:rsid w:val="002853B8"/>
    <w:pPr>
      <w:numPr>
        <w:numId w:val="7"/>
      </w:numPr>
    </w:pPr>
  </w:style>
  <w:style w:type="paragraph" w:customStyle="1" w:styleId="EQ">
    <w:name w:val="EQ"/>
    <w:basedOn w:val="Normal"/>
    <w:next w:val="Normal"/>
    <w:rsid w:val="002853B8"/>
    <w:pPr>
      <w:keepLines/>
      <w:tabs>
        <w:tab w:val="center" w:pos="4536"/>
        <w:tab w:val="right" w:pos="9072"/>
      </w:tabs>
      <w:spacing w:after="180"/>
      <w:jc w:val="left"/>
    </w:pPr>
    <w:rPr>
      <w:noProof/>
      <w:lang w:eastAsia="en-US"/>
    </w:rPr>
  </w:style>
  <w:style w:type="paragraph" w:styleId="List2">
    <w:name w:val="List 2"/>
    <w:basedOn w:val="List"/>
    <w:rsid w:val="002853B8"/>
    <w:pPr>
      <w:ind w:left="851"/>
    </w:pPr>
  </w:style>
  <w:style w:type="paragraph" w:styleId="List3">
    <w:name w:val="List 3"/>
    <w:basedOn w:val="List2"/>
    <w:rsid w:val="002853B8"/>
    <w:pPr>
      <w:ind w:left="1135"/>
    </w:pPr>
  </w:style>
  <w:style w:type="paragraph" w:styleId="List4">
    <w:name w:val="List 4"/>
    <w:basedOn w:val="List3"/>
    <w:rsid w:val="002853B8"/>
    <w:pPr>
      <w:ind w:left="1418"/>
    </w:pPr>
  </w:style>
  <w:style w:type="paragraph" w:styleId="List5">
    <w:name w:val="List 5"/>
    <w:basedOn w:val="List4"/>
    <w:rsid w:val="002853B8"/>
    <w:pPr>
      <w:ind w:left="1702"/>
    </w:pPr>
  </w:style>
  <w:style w:type="paragraph" w:customStyle="1" w:styleId="EditorsNote">
    <w:name w:val="Editor's Note"/>
    <w:basedOn w:val="Normal"/>
    <w:rsid w:val="002853B8"/>
    <w:pPr>
      <w:keepLines/>
      <w:spacing w:after="180"/>
      <w:ind w:left="1135" w:hanging="851"/>
      <w:jc w:val="left"/>
    </w:pPr>
    <w:rPr>
      <w:color w:val="FF0000"/>
      <w:lang w:eastAsia="en-US"/>
    </w:rPr>
  </w:style>
  <w:style w:type="paragraph" w:styleId="ListBullet4">
    <w:name w:val="List Bullet 4"/>
    <w:basedOn w:val="ListBullet3"/>
    <w:rsid w:val="002853B8"/>
    <w:pPr>
      <w:numPr>
        <w:numId w:val="8"/>
      </w:numPr>
    </w:pPr>
  </w:style>
  <w:style w:type="paragraph" w:styleId="ListBullet5">
    <w:name w:val="List Bullet 5"/>
    <w:basedOn w:val="ListBullet4"/>
    <w:rsid w:val="002853B8"/>
    <w:pPr>
      <w:numPr>
        <w:numId w:val="4"/>
      </w:numPr>
    </w:pPr>
  </w:style>
  <w:style w:type="paragraph" w:styleId="Footer">
    <w:name w:val="footer"/>
    <w:basedOn w:val="Header"/>
    <w:semiHidden/>
    <w:rsid w:val="002853B8"/>
    <w:pPr>
      <w:jc w:val="center"/>
    </w:pPr>
    <w:rPr>
      <w:i/>
      <w:iCs/>
    </w:rPr>
  </w:style>
  <w:style w:type="paragraph" w:customStyle="1" w:styleId="Reference">
    <w:name w:val="Reference"/>
    <w:basedOn w:val="Normal"/>
    <w:rsid w:val="002853B8"/>
    <w:pPr>
      <w:numPr>
        <w:numId w:val="2"/>
      </w:numPr>
    </w:pPr>
  </w:style>
  <w:style w:type="paragraph" w:styleId="BalloonText">
    <w:name w:val="Balloon Text"/>
    <w:basedOn w:val="Normal"/>
    <w:semiHidden/>
    <w:rsid w:val="002853B8"/>
    <w:rPr>
      <w:rFonts w:ascii="Tahoma" w:hAnsi="Tahoma" w:cs="Tahoma"/>
      <w:sz w:val="16"/>
      <w:szCs w:val="16"/>
    </w:rPr>
  </w:style>
  <w:style w:type="character" w:styleId="PageNumber">
    <w:name w:val="page number"/>
    <w:basedOn w:val="DefaultParagraphFont"/>
    <w:semiHidden/>
    <w:rsid w:val="002853B8"/>
  </w:style>
  <w:style w:type="paragraph" w:styleId="BodyText">
    <w:name w:val="Body Text"/>
    <w:basedOn w:val="Normal"/>
    <w:link w:val="BodyTextChar"/>
    <w:rsid w:val="002853B8"/>
  </w:style>
  <w:style w:type="character" w:styleId="Hyperlink">
    <w:name w:val="Hyperlink"/>
    <w:uiPriority w:val="99"/>
    <w:rsid w:val="002853B8"/>
    <w:rPr>
      <w:color w:val="0000FF"/>
      <w:u w:val="single"/>
      <w:lang w:val="en-GB"/>
    </w:rPr>
  </w:style>
  <w:style w:type="character" w:styleId="FollowedHyperlink">
    <w:name w:val="FollowedHyperlink"/>
    <w:semiHidden/>
    <w:rsid w:val="002853B8"/>
    <w:rPr>
      <w:color w:val="FF0000"/>
      <w:u w:val="single"/>
    </w:rPr>
  </w:style>
  <w:style w:type="character" w:styleId="CommentReference">
    <w:name w:val="annotation reference"/>
    <w:semiHidden/>
    <w:rsid w:val="002853B8"/>
    <w:rPr>
      <w:sz w:val="16"/>
      <w:szCs w:val="16"/>
    </w:rPr>
  </w:style>
  <w:style w:type="paragraph" w:styleId="CommentText">
    <w:name w:val="annotation text"/>
    <w:basedOn w:val="Normal"/>
    <w:semiHidden/>
    <w:rsid w:val="002853B8"/>
  </w:style>
  <w:style w:type="paragraph" w:styleId="CommentSubject">
    <w:name w:val="annotation subject"/>
    <w:basedOn w:val="CommentText"/>
    <w:next w:val="CommentText"/>
    <w:semiHidden/>
    <w:rsid w:val="002853B8"/>
    <w:rPr>
      <w:b/>
      <w:bCs/>
    </w:rPr>
  </w:style>
  <w:style w:type="character" w:customStyle="1" w:styleId="Heading1Char">
    <w:name w:val="Heading 1 Char"/>
    <w:link w:val="Heading1"/>
    <w:rsid w:val="002853B8"/>
    <w:rPr>
      <w:rFonts w:ascii="Arial" w:hAnsi="Arial" w:cs="Arial"/>
      <w:sz w:val="36"/>
      <w:szCs w:val="36"/>
      <w:lang w:val="en-GB" w:eastAsia="zh-CN"/>
    </w:rPr>
  </w:style>
  <w:style w:type="paragraph" w:customStyle="1" w:styleId="B1">
    <w:name w:val="B1"/>
    <w:basedOn w:val="List"/>
    <w:rsid w:val="002853B8"/>
    <w:pPr>
      <w:spacing w:after="180"/>
      <w:jc w:val="left"/>
    </w:pPr>
    <w:rPr>
      <w:lang w:eastAsia="en-US"/>
    </w:rPr>
  </w:style>
  <w:style w:type="paragraph" w:customStyle="1" w:styleId="B2">
    <w:name w:val="B2"/>
    <w:basedOn w:val="List2"/>
    <w:rsid w:val="002853B8"/>
    <w:pPr>
      <w:spacing w:after="180"/>
      <w:jc w:val="left"/>
    </w:pPr>
    <w:rPr>
      <w:lang w:eastAsia="en-US"/>
    </w:rPr>
  </w:style>
  <w:style w:type="paragraph" w:customStyle="1" w:styleId="B3">
    <w:name w:val="B3"/>
    <w:basedOn w:val="List3"/>
    <w:rsid w:val="002853B8"/>
    <w:pPr>
      <w:spacing w:after="180"/>
      <w:jc w:val="left"/>
    </w:pPr>
    <w:rPr>
      <w:lang w:eastAsia="en-US"/>
    </w:rPr>
  </w:style>
  <w:style w:type="paragraph" w:customStyle="1" w:styleId="B4">
    <w:name w:val="B4"/>
    <w:basedOn w:val="List4"/>
    <w:rsid w:val="002853B8"/>
    <w:pPr>
      <w:spacing w:after="180"/>
      <w:jc w:val="left"/>
    </w:pPr>
    <w:rPr>
      <w:lang w:eastAsia="en-US"/>
    </w:rPr>
  </w:style>
  <w:style w:type="paragraph" w:customStyle="1" w:styleId="Proposal">
    <w:name w:val="Proposal"/>
    <w:basedOn w:val="Normal"/>
    <w:rsid w:val="002853B8"/>
    <w:pPr>
      <w:numPr>
        <w:numId w:val="3"/>
      </w:numPr>
      <w:tabs>
        <w:tab w:val="clear" w:pos="1304"/>
        <w:tab w:val="left" w:pos="1701"/>
      </w:tabs>
      <w:ind w:left="1701" w:hanging="1701"/>
    </w:pPr>
    <w:rPr>
      <w:b/>
      <w:bCs/>
    </w:rPr>
  </w:style>
  <w:style w:type="character" w:customStyle="1" w:styleId="BodyTextChar">
    <w:name w:val="Body Text Char"/>
    <w:link w:val="BodyText"/>
    <w:rsid w:val="002853B8"/>
    <w:rPr>
      <w:rFonts w:ascii="Arial" w:hAnsi="Arial"/>
      <w:lang w:val="en-GB" w:eastAsia="zh-CN"/>
    </w:rPr>
  </w:style>
  <w:style w:type="paragraph" w:customStyle="1" w:styleId="B5">
    <w:name w:val="B5"/>
    <w:basedOn w:val="List5"/>
    <w:rsid w:val="002853B8"/>
    <w:pPr>
      <w:spacing w:after="180"/>
      <w:jc w:val="left"/>
    </w:pPr>
    <w:rPr>
      <w:lang w:eastAsia="en-US"/>
    </w:rPr>
  </w:style>
  <w:style w:type="paragraph" w:customStyle="1" w:styleId="EX">
    <w:name w:val="EX"/>
    <w:basedOn w:val="Normal"/>
    <w:rsid w:val="002853B8"/>
    <w:pPr>
      <w:keepLines/>
      <w:spacing w:after="180"/>
      <w:ind w:left="1702" w:hanging="1418"/>
      <w:jc w:val="left"/>
    </w:pPr>
    <w:rPr>
      <w:lang w:eastAsia="en-US"/>
    </w:rPr>
  </w:style>
  <w:style w:type="paragraph" w:customStyle="1" w:styleId="EW">
    <w:name w:val="EW"/>
    <w:basedOn w:val="EX"/>
    <w:rsid w:val="002853B8"/>
    <w:pPr>
      <w:spacing w:after="0"/>
    </w:pPr>
  </w:style>
  <w:style w:type="paragraph" w:customStyle="1" w:styleId="TAL">
    <w:name w:val="TAL"/>
    <w:basedOn w:val="Normal"/>
    <w:rsid w:val="002853B8"/>
    <w:pPr>
      <w:keepNext/>
      <w:keepLines/>
      <w:spacing w:after="0"/>
      <w:jc w:val="left"/>
    </w:pPr>
    <w:rPr>
      <w:sz w:val="18"/>
      <w:lang w:eastAsia="en-US"/>
    </w:rPr>
  </w:style>
  <w:style w:type="paragraph" w:customStyle="1" w:styleId="TAC">
    <w:name w:val="TAC"/>
    <w:basedOn w:val="TAL"/>
    <w:rsid w:val="002853B8"/>
    <w:pPr>
      <w:jc w:val="center"/>
    </w:pPr>
  </w:style>
  <w:style w:type="paragraph" w:customStyle="1" w:styleId="TAH">
    <w:name w:val="TAH"/>
    <w:basedOn w:val="TAC"/>
    <w:rsid w:val="002853B8"/>
    <w:rPr>
      <w:b/>
    </w:rPr>
  </w:style>
  <w:style w:type="paragraph" w:customStyle="1" w:styleId="TAN">
    <w:name w:val="TAN"/>
    <w:basedOn w:val="TAL"/>
    <w:rsid w:val="002853B8"/>
    <w:pPr>
      <w:ind w:left="851" w:hanging="851"/>
    </w:pPr>
  </w:style>
  <w:style w:type="paragraph" w:customStyle="1" w:styleId="TAR">
    <w:name w:val="TAR"/>
    <w:basedOn w:val="TAL"/>
    <w:rsid w:val="002853B8"/>
    <w:pPr>
      <w:jc w:val="right"/>
    </w:pPr>
  </w:style>
  <w:style w:type="paragraph" w:customStyle="1" w:styleId="TH">
    <w:name w:val="TH"/>
    <w:basedOn w:val="Normal"/>
    <w:link w:val="THChar"/>
    <w:rsid w:val="002853B8"/>
    <w:pPr>
      <w:keepNext/>
      <w:keepLines/>
      <w:spacing w:before="60" w:after="180"/>
      <w:jc w:val="center"/>
    </w:pPr>
    <w:rPr>
      <w:b/>
      <w:lang w:eastAsia="en-US"/>
    </w:rPr>
  </w:style>
  <w:style w:type="paragraph" w:customStyle="1" w:styleId="TF">
    <w:name w:val="TF"/>
    <w:basedOn w:val="TH"/>
    <w:rsid w:val="002853B8"/>
    <w:pPr>
      <w:keepNext w:val="0"/>
      <w:spacing w:before="0" w:after="240"/>
    </w:pPr>
  </w:style>
  <w:style w:type="paragraph" w:customStyle="1" w:styleId="TT">
    <w:name w:val="TT"/>
    <w:basedOn w:val="Heading1"/>
    <w:next w:val="Normal"/>
    <w:rsid w:val="002853B8"/>
    <w:pPr>
      <w:numPr>
        <w:numId w:val="0"/>
      </w:numPr>
      <w:ind w:left="1134" w:hanging="1134"/>
      <w:outlineLvl w:val="9"/>
    </w:pPr>
    <w:rPr>
      <w:rFonts w:cs="Times New Roman"/>
      <w:szCs w:val="20"/>
      <w:lang w:eastAsia="en-US"/>
    </w:rPr>
  </w:style>
  <w:style w:type="paragraph" w:customStyle="1" w:styleId="ZA">
    <w:name w:val="ZA"/>
    <w:rsid w:val="002853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853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853B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853B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853B8"/>
  </w:style>
  <w:style w:type="paragraph" w:customStyle="1" w:styleId="ZH">
    <w:name w:val="ZH"/>
    <w:rsid w:val="002853B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853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853B8"/>
    <w:pPr>
      <w:framePr w:hRule="auto" w:wrap="notBeside" w:y="852"/>
    </w:pPr>
    <w:rPr>
      <w:i w:val="0"/>
      <w:sz w:val="40"/>
    </w:rPr>
  </w:style>
  <w:style w:type="paragraph" w:customStyle="1" w:styleId="ZU">
    <w:name w:val="ZU"/>
    <w:rsid w:val="002853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853B8"/>
    <w:pPr>
      <w:framePr w:wrap="notBeside" w:y="16161"/>
    </w:pPr>
  </w:style>
  <w:style w:type="paragraph" w:customStyle="1" w:styleId="FP">
    <w:name w:val="FP"/>
    <w:basedOn w:val="Normal"/>
    <w:rsid w:val="002853B8"/>
    <w:pPr>
      <w:spacing w:after="0"/>
      <w:jc w:val="left"/>
    </w:pPr>
    <w:rPr>
      <w:lang w:eastAsia="en-US"/>
    </w:rPr>
  </w:style>
  <w:style w:type="paragraph" w:customStyle="1" w:styleId="Observation">
    <w:name w:val="Observation"/>
    <w:basedOn w:val="Proposal"/>
    <w:qFormat/>
    <w:rsid w:val="002853B8"/>
    <w:pPr>
      <w:numPr>
        <w:numId w:val="13"/>
      </w:numPr>
      <w:ind w:left="1701" w:hanging="1701"/>
    </w:pPr>
  </w:style>
  <w:style w:type="paragraph" w:styleId="TableofFigures">
    <w:name w:val="table of figures"/>
    <w:basedOn w:val="Normal"/>
    <w:next w:val="Normal"/>
    <w:uiPriority w:val="99"/>
    <w:rsid w:val="002853B8"/>
    <w:pPr>
      <w:ind w:left="1418" w:hanging="1418"/>
      <w:jc w:val="left"/>
    </w:pPr>
    <w:rPr>
      <w:b/>
    </w:rPr>
  </w:style>
  <w:style w:type="paragraph" w:styleId="ListParagraph">
    <w:name w:val="List Paragraph"/>
    <w:basedOn w:val="Normal"/>
    <w:uiPriority w:val="34"/>
    <w:qFormat/>
    <w:rsid w:val="00417F5D"/>
    <w:pPr>
      <w:ind w:left="720"/>
      <w:contextualSpacing/>
    </w:pPr>
  </w:style>
  <w:style w:type="character" w:customStyle="1" w:styleId="THChar">
    <w:name w:val="TH Char"/>
    <w:link w:val="TH"/>
    <w:rsid w:val="000B6B92"/>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2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5NUHHDQN7SK2-1-114861</_dlc_DocId>
    <_dlc_DocIdUrl xmlns="08b2df90-05d3-4030-90d4-c9feeb4a1cd9">
      <Url>https://ericoll.internal.ericsson.com/sites/STAR/_layouts/DocIdRedir.aspx?ID=5NUHHDQN7SK2-1-114861</Url>
      <Description>5NUHHDQN7SK2-1-114861</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55E0644C-6BEA-4A28-8785-968290B61A99}"/>
</file>

<file path=customXml/itemProps4.xml><?xml version="1.0" encoding="utf-8"?>
<ds:datastoreItem xmlns:ds="http://schemas.openxmlformats.org/officeDocument/2006/customXml" ds:itemID="{F95D044E-DEF4-44A0-9715-94CD62B64AD4}"/>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22C58062-50BF-43A3-B05F-2158301419C2}"/>
</file>

<file path=docProps/app.xml><?xml version="1.0" encoding="utf-8"?>
<Properties xmlns="http://schemas.openxmlformats.org/officeDocument/2006/extended-properties" xmlns:vt="http://schemas.openxmlformats.org/officeDocument/2006/docPropsVTypes">
  <Template>R2-15xxxx - Contribution template</Template>
  <TotalTime>9</TotalTime>
  <Pages>3</Pages>
  <Words>818</Words>
  <Characters>6629</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Stefan Wager</cp:lastModifiedBy>
  <cp:revision>4</cp:revision>
  <cp:lastPrinted>2008-01-31T16:09:00Z</cp:lastPrinted>
  <dcterms:created xsi:type="dcterms:W3CDTF">2017-03-24T18:17:00Z</dcterms:created>
  <dcterms:modified xsi:type="dcterms:W3CDTF">2017-03-24T23:27:00Z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ce0b41be-796b-4994-b329-948a1ef70539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